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045C9" w14:textId="77777777" w:rsidR="002177C9" w:rsidRPr="00BA387D" w:rsidRDefault="002177C9" w:rsidP="005D13C2">
      <w:pPr>
        <w:spacing w:before="240" w:after="240"/>
      </w:pPr>
    </w:p>
    <w:p w14:paraId="21721613" w14:textId="77777777" w:rsidR="00C50902" w:rsidRPr="00BA387D" w:rsidRDefault="00C50902" w:rsidP="005D13C2">
      <w:pPr>
        <w:spacing w:before="240" w:after="240"/>
      </w:pPr>
    </w:p>
    <w:p w14:paraId="30C59984" w14:textId="77777777" w:rsidR="002177C9" w:rsidRPr="00BA387D" w:rsidRDefault="002177C9" w:rsidP="005D13C2">
      <w:pPr>
        <w:spacing w:before="240" w:after="240"/>
      </w:pPr>
    </w:p>
    <w:p w14:paraId="279F22CA" w14:textId="77777777" w:rsidR="002177C9" w:rsidRPr="00BA387D" w:rsidRDefault="002177C9" w:rsidP="005D13C2">
      <w:pPr>
        <w:spacing w:before="240" w:after="240"/>
      </w:pPr>
    </w:p>
    <w:p w14:paraId="1F065DF3" w14:textId="77777777" w:rsidR="002177C9" w:rsidRDefault="002177C9" w:rsidP="005D13C2">
      <w:pPr>
        <w:spacing w:before="240" w:after="240"/>
      </w:pPr>
    </w:p>
    <w:p w14:paraId="524F0074" w14:textId="77777777" w:rsidR="008B4D8B" w:rsidRDefault="008B4D8B" w:rsidP="005D13C2">
      <w:pPr>
        <w:spacing w:before="240" w:after="240"/>
      </w:pPr>
    </w:p>
    <w:p w14:paraId="3BD13F6D" w14:textId="77777777" w:rsidR="008B4D8B" w:rsidRPr="00BA387D" w:rsidRDefault="008B4D8B" w:rsidP="005D13C2">
      <w:pPr>
        <w:spacing w:before="240" w:after="240"/>
      </w:pPr>
    </w:p>
    <w:p w14:paraId="657B17E8" w14:textId="77777777" w:rsidR="002177C9" w:rsidRPr="00BA387D" w:rsidRDefault="002177C9" w:rsidP="005D13C2">
      <w:pPr>
        <w:spacing w:before="240" w:after="240"/>
      </w:pPr>
    </w:p>
    <w:p w14:paraId="3E50FAEB" w14:textId="77777777" w:rsidR="002177C9" w:rsidRPr="00BA387D" w:rsidRDefault="002177C9" w:rsidP="005D13C2">
      <w:pPr>
        <w:spacing w:before="240" w:after="240"/>
      </w:pPr>
    </w:p>
    <w:p w14:paraId="43B6E8D4" w14:textId="77777777" w:rsidR="002177C9" w:rsidRPr="00BA387D" w:rsidRDefault="002177C9" w:rsidP="005D13C2">
      <w:pPr>
        <w:spacing w:before="240" w:after="240"/>
      </w:pPr>
    </w:p>
    <w:p w14:paraId="5B0EF697" w14:textId="77777777" w:rsidR="002177C9" w:rsidRPr="00BA387D" w:rsidRDefault="002177C9" w:rsidP="005D13C2">
      <w:pPr>
        <w:spacing w:before="240" w:after="240"/>
        <w:jc w:val="center"/>
        <w:rPr>
          <w:b/>
          <w:bCs/>
          <w:sz w:val="40"/>
          <w:szCs w:val="40"/>
        </w:rPr>
      </w:pPr>
      <w:r w:rsidRPr="00BA387D">
        <w:rPr>
          <w:b/>
          <w:bCs/>
          <w:sz w:val="40"/>
          <w:szCs w:val="40"/>
        </w:rPr>
        <w:t xml:space="preserve">Manual de Padronização dos Processos </w:t>
      </w:r>
      <w:r w:rsidR="006A7117" w:rsidRPr="00BA387D">
        <w:rPr>
          <w:b/>
          <w:bCs/>
          <w:sz w:val="40"/>
          <w:szCs w:val="40"/>
        </w:rPr>
        <w:t xml:space="preserve">de </w:t>
      </w:r>
      <w:r w:rsidR="009C57CC">
        <w:rPr>
          <w:b/>
          <w:bCs/>
          <w:sz w:val="40"/>
          <w:szCs w:val="40"/>
        </w:rPr>
        <w:t>Investimentos</w:t>
      </w:r>
    </w:p>
    <w:p w14:paraId="6816D612" w14:textId="77777777" w:rsidR="00BA387D" w:rsidRDefault="00BA387D" w:rsidP="005D13C2">
      <w:pPr>
        <w:spacing w:before="240" w:after="240"/>
      </w:pPr>
    </w:p>
    <w:p w14:paraId="4F1F5ADD" w14:textId="77777777" w:rsidR="00BA387D" w:rsidRDefault="00BA387D" w:rsidP="005D13C2">
      <w:pPr>
        <w:spacing w:before="240" w:after="240"/>
      </w:pPr>
    </w:p>
    <w:p w14:paraId="00EDA076" w14:textId="77777777" w:rsidR="00BA387D" w:rsidRDefault="00BA387D" w:rsidP="005D13C2">
      <w:pPr>
        <w:spacing w:before="240" w:after="240"/>
      </w:pPr>
    </w:p>
    <w:p w14:paraId="37318FFB" w14:textId="77777777" w:rsidR="00BA387D" w:rsidRDefault="00BA387D" w:rsidP="005D13C2">
      <w:pPr>
        <w:spacing w:before="240" w:after="240"/>
      </w:pPr>
    </w:p>
    <w:p w14:paraId="036D641C" w14:textId="77777777" w:rsidR="00BA387D" w:rsidRDefault="00BA387D" w:rsidP="005D13C2">
      <w:pPr>
        <w:spacing w:before="240" w:after="240"/>
      </w:pPr>
    </w:p>
    <w:p w14:paraId="16A62F89" w14:textId="77777777" w:rsidR="00BA387D" w:rsidRDefault="00BA387D" w:rsidP="005D13C2">
      <w:pPr>
        <w:spacing w:before="240" w:after="240"/>
      </w:pPr>
    </w:p>
    <w:p w14:paraId="007A5871" w14:textId="77777777" w:rsidR="00BA387D" w:rsidRDefault="00BA387D" w:rsidP="005D13C2">
      <w:pPr>
        <w:spacing w:before="240" w:after="240"/>
      </w:pPr>
    </w:p>
    <w:p w14:paraId="709F86F8" w14:textId="77777777" w:rsidR="00BA387D" w:rsidRPr="00BA387D" w:rsidRDefault="00BA387D" w:rsidP="005D13C2">
      <w:pPr>
        <w:spacing w:before="240" w:after="240"/>
      </w:pPr>
    </w:p>
    <w:p w14:paraId="3309C079" w14:textId="77777777" w:rsidR="00BA387D" w:rsidRDefault="00BA387D" w:rsidP="005D13C2">
      <w:pPr>
        <w:spacing w:before="240" w:after="240"/>
      </w:pPr>
    </w:p>
    <w:p w14:paraId="1829A206" w14:textId="77777777" w:rsidR="008B4D8B" w:rsidRPr="00BA387D" w:rsidRDefault="008B4D8B" w:rsidP="005D13C2">
      <w:pPr>
        <w:spacing w:before="240" w:after="240"/>
      </w:pPr>
    </w:p>
    <w:tbl>
      <w:tblPr>
        <w:tblW w:w="5000" w:type="pct"/>
        <w:jc w:val="center"/>
        <w:tblBorders>
          <w:top w:val="dotted" w:sz="2" w:space="0" w:color="7F7F7F"/>
          <w:left w:val="dotted" w:sz="2" w:space="0" w:color="7F7F7F"/>
          <w:bottom w:val="dotted" w:sz="2" w:space="0" w:color="7F7F7F"/>
          <w:right w:val="dotted" w:sz="2" w:space="0" w:color="7F7F7F"/>
          <w:insideH w:val="dotted" w:sz="2" w:space="0" w:color="7F7F7F"/>
          <w:insideV w:val="dotted" w:sz="2" w:space="0" w:color="7F7F7F"/>
        </w:tblBorders>
        <w:tblLook w:val="04A0" w:firstRow="1" w:lastRow="0" w:firstColumn="1" w:lastColumn="0" w:noHBand="0" w:noVBand="1"/>
      </w:tblPr>
      <w:tblGrid>
        <w:gridCol w:w="6902"/>
        <w:gridCol w:w="1103"/>
        <w:gridCol w:w="1203"/>
      </w:tblGrid>
      <w:tr w:rsidR="00EF3A7B" w:rsidRPr="00BA387D" w14:paraId="17D53545" w14:textId="77777777" w:rsidTr="00BA387D">
        <w:trPr>
          <w:trHeight w:val="20"/>
          <w:jc w:val="center"/>
        </w:trPr>
        <w:tc>
          <w:tcPr>
            <w:tcW w:w="3748" w:type="pct"/>
            <w:vAlign w:val="center"/>
          </w:tcPr>
          <w:p w14:paraId="10397F46" w14:textId="77777777" w:rsidR="00BA387D" w:rsidRPr="005C4A5D" w:rsidRDefault="00BA387D" w:rsidP="009C57CC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Manua</w:t>
            </w:r>
            <w:r w:rsidR="009C57CC">
              <w:rPr>
                <w:rFonts w:ascii="Arial" w:eastAsia="Calibri" w:hAnsi="Arial"/>
                <w:sz w:val="16"/>
                <w:szCs w:val="16"/>
                <w:lang w:val="pt-BR"/>
              </w:rPr>
              <w:t>l de Padronização dos Processos de Investimentos</w:t>
            </w:r>
          </w:p>
        </w:tc>
        <w:tc>
          <w:tcPr>
            <w:tcW w:w="599" w:type="pct"/>
          </w:tcPr>
          <w:p w14:paraId="08D451A9" w14:textId="77777777" w:rsidR="00BA387D" w:rsidRPr="005C4A5D" w:rsidRDefault="00BA387D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VERSÃO</w:t>
            </w:r>
          </w:p>
          <w:p w14:paraId="544D80D5" w14:textId="77777777" w:rsidR="008B4D8B" w:rsidRPr="005C4A5D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</w:p>
          <w:p w14:paraId="3C544D50" w14:textId="77777777" w:rsidR="00BA387D" w:rsidRPr="005C4A5D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653" w:type="pct"/>
          </w:tcPr>
          <w:p w14:paraId="0926B90D" w14:textId="77777777" w:rsidR="00BA387D" w:rsidRPr="00BF0205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BF0205">
              <w:rPr>
                <w:rFonts w:ascii="Arial" w:eastAsia="Calibri" w:hAnsi="Arial"/>
                <w:sz w:val="16"/>
                <w:szCs w:val="16"/>
                <w:lang w:val="pt-BR"/>
              </w:rPr>
              <w:t>APROVADO</w:t>
            </w:r>
          </w:p>
          <w:p w14:paraId="2D95EA09" w14:textId="77777777" w:rsidR="008B4D8B" w:rsidRPr="00BF0205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</w:p>
          <w:p w14:paraId="6B402B97" w14:textId="5BA79233" w:rsidR="008B4D8B" w:rsidRPr="00BF0205" w:rsidRDefault="00290C4C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>
              <w:rPr>
                <w:rFonts w:ascii="Arial" w:eastAsia="Calibri" w:hAnsi="Arial"/>
                <w:sz w:val="16"/>
                <w:szCs w:val="16"/>
                <w:lang w:val="pt-BR"/>
              </w:rPr>
              <w:t>Abril</w:t>
            </w:r>
            <w:r w:rsidR="00BF0205" w:rsidRPr="00BF0205">
              <w:rPr>
                <w:rFonts w:ascii="Arial" w:eastAsia="Calibri" w:hAnsi="Arial"/>
                <w:sz w:val="16"/>
                <w:szCs w:val="16"/>
                <w:lang w:val="pt-BR"/>
              </w:rPr>
              <w:t>/</w:t>
            </w:r>
            <w:r w:rsidR="008B4D8B" w:rsidRPr="00BF0205">
              <w:rPr>
                <w:rFonts w:ascii="Arial" w:eastAsia="Calibri" w:hAnsi="Arial"/>
                <w:sz w:val="16"/>
                <w:szCs w:val="16"/>
                <w:lang w:val="pt-BR"/>
              </w:rPr>
              <w:t>202</w:t>
            </w:r>
            <w:r w:rsidR="00BF0205" w:rsidRPr="00BF0205">
              <w:rPr>
                <w:rFonts w:ascii="Arial" w:eastAsia="Calibri" w:hAnsi="Arial"/>
                <w:sz w:val="16"/>
                <w:szCs w:val="16"/>
                <w:lang w:val="pt-BR"/>
              </w:rPr>
              <w:t>6</w:t>
            </w:r>
          </w:p>
        </w:tc>
      </w:tr>
    </w:tbl>
    <w:p w14:paraId="1BAFC0E1" w14:textId="77777777" w:rsidR="00290C4C" w:rsidRDefault="00290C4C" w:rsidP="005D13C2">
      <w:pPr>
        <w:spacing w:before="240" w:after="240"/>
      </w:pPr>
    </w:p>
    <w:p w14:paraId="696963D1" w14:textId="46A0A391" w:rsidR="006E6227" w:rsidRPr="006E6227" w:rsidRDefault="00BA387D" w:rsidP="005D13C2">
      <w:pPr>
        <w:spacing w:before="240" w:after="240"/>
        <w:rPr>
          <w:b/>
          <w:bCs/>
          <w:sz w:val="28"/>
          <w:szCs w:val="22"/>
        </w:rPr>
      </w:pPr>
      <w:r w:rsidRPr="00290C4C">
        <w:br w:type="page"/>
      </w:r>
      <w:r w:rsidR="006E6227" w:rsidRPr="006E6227">
        <w:rPr>
          <w:b/>
          <w:bCs/>
          <w:sz w:val="28"/>
          <w:szCs w:val="22"/>
        </w:rPr>
        <w:lastRenderedPageBreak/>
        <w:t>Sumário</w:t>
      </w:r>
    </w:p>
    <w:p w14:paraId="2DCDCD1C" w14:textId="4CCE7E54" w:rsidR="00C428E7" w:rsidRDefault="006E6227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r w:rsidRPr="006E6227">
        <w:fldChar w:fldCharType="begin"/>
      </w:r>
      <w:r w:rsidRPr="006E6227">
        <w:instrText xml:space="preserve"> TOC \o "1-6" \h \z \u </w:instrText>
      </w:r>
      <w:r w:rsidRPr="006E6227">
        <w:fldChar w:fldCharType="separate"/>
      </w:r>
      <w:hyperlink w:anchor="_Toc227332359" w:history="1">
        <w:r w:rsidR="00C428E7" w:rsidRPr="00A63CF0">
          <w:rPr>
            <w:rStyle w:val="Hyperlink"/>
            <w:noProof/>
          </w:rPr>
          <w:t>1.</w:t>
        </w:r>
        <w:r w:rsidR="00C428E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pt-BR"/>
            <w14:ligatures w14:val="standardContextual"/>
          </w:rPr>
          <w:tab/>
        </w:r>
        <w:r w:rsidR="00C428E7" w:rsidRPr="00A63CF0">
          <w:rPr>
            <w:rStyle w:val="Hyperlink"/>
            <w:noProof/>
          </w:rPr>
          <w:t>DISPOSIÇÃO GERAL</w:t>
        </w:r>
        <w:r w:rsidR="00C428E7">
          <w:rPr>
            <w:noProof/>
            <w:webHidden/>
          </w:rPr>
          <w:tab/>
        </w:r>
        <w:r w:rsidR="00C428E7">
          <w:rPr>
            <w:noProof/>
            <w:webHidden/>
          </w:rPr>
          <w:fldChar w:fldCharType="begin"/>
        </w:r>
        <w:r w:rsidR="00C428E7">
          <w:rPr>
            <w:noProof/>
            <w:webHidden/>
          </w:rPr>
          <w:instrText xml:space="preserve"> PAGEREF _Toc227332359 \h </w:instrText>
        </w:r>
        <w:r w:rsidR="00C428E7">
          <w:rPr>
            <w:noProof/>
            <w:webHidden/>
          </w:rPr>
        </w:r>
        <w:r w:rsidR="00C428E7">
          <w:rPr>
            <w:noProof/>
            <w:webHidden/>
          </w:rPr>
          <w:fldChar w:fldCharType="separate"/>
        </w:r>
        <w:r w:rsidR="00C428E7">
          <w:rPr>
            <w:noProof/>
            <w:webHidden/>
          </w:rPr>
          <w:t>3</w:t>
        </w:r>
        <w:r w:rsidR="00C428E7">
          <w:rPr>
            <w:noProof/>
            <w:webHidden/>
          </w:rPr>
          <w:fldChar w:fldCharType="end"/>
        </w:r>
      </w:hyperlink>
    </w:p>
    <w:p w14:paraId="4B426E9B" w14:textId="7B0E2A86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0" w:history="1">
        <w:r w:rsidRPr="00A63CF0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Apresentação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9A1C6E" w14:textId="46E1BE25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1" w:history="1">
        <w:r w:rsidRPr="00A63CF0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4185ED" w14:textId="3C966E5B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2" w:history="1">
        <w:r w:rsidRPr="00A63CF0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Objetivo Específico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BB8008" w14:textId="16BC4564" w:rsidR="00C428E7" w:rsidRDefault="00C428E7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227332363" w:history="1">
        <w:r w:rsidRPr="00A63CF0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PROCESSOS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2B8FD2" w14:textId="66D18FA8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4" w:history="1">
        <w:r w:rsidRPr="00A63CF0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Processo de Credenciamento das Instituições Financeiras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3927C1" w14:textId="43098320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5" w:history="1">
        <w:r w:rsidRPr="00A63CF0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Processo de Atualização do Credenciamento das Instituições Financeiras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B7075B" w14:textId="76061DF3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6" w:history="1">
        <w:r w:rsidRPr="00A63CF0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Processo de Elaboração e Aprovação da Política de Investimentos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A2172E" w14:textId="20A322DA" w:rsidR="00C428E7" w:rsidRDefault="00C428E7">
      <w:pPr>
        <w:pStyle w:val="Sumrio6"/>
        <w:tabs>
          <w:tab w:val="left" w:pos="168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332367" w:history="1">
        <w:r w:rsidRPr="00A63CF0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Processo de Autorização para Aplicação e Resgate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6039D9" w14:textId="2FAF77A0" w:rsidR="00C428E7" w:rsidRDefault="00C428E7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227332368" w:history="1">
        <w:r w:rsidRPr="00A63CF0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CONSIDERAÇÕES GERAIS D</w:t>
        </w:r>
        <w:r w:rsidR="00B92DDA">
          <w:rPr>
            <w:rStyle w:val="Hyperlink"/>
            <w:noProof/>
          </w:rPr>
          <w:t>o</w:t>
        </w:r>
        <w:r w:rsidRPr="00A63CF0">
          <w:rPr>
            <w:rStyle w:val="Hyperlink"/>
            <w:noProof/>
          </w:rPr>
          <w:t xml:space="preserve"> PROCESSO</w:t>
        </w:r>
        <w:r w:rsidR="00B92DDA">
          <w:rPr>
            <w:rStyle w:val="Hyperlink"/>
            <w:noProof/>
          </w:rPr>
          <w:t xml:space="preserve"> de</w:t>
        </w:r>
        <w:r w:rsidRPr="00A63CF0">
          <w:rPr>
            <w:rStyle w:val="Hyperlink"/>
            <w:noProof/>
          </w:rPr>
          <w:t xml:space="preserve"> INVESTIMENTO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97F029" w14:textId="796C1DCC" w:rsidR="00C428E7" w:rsidRDefault="00C428E7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227332369" w:history="1">
        <w:r w:rsidRPr="00A63CF0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pt-BR"/>
            <w14:ligatures w14:val="standardContextual"/>
          </w:rPr>
          <w:tab/>
        </w:r>
        <w:r w:rsidRPr="00A63CF0">
          <w:rPr>
            <w:rStyle w:val="Hyperlink"/>
            <w:noProof/>
          </w:rPr>
          <w:t>CONSIDERAÇÕES FINAIS</w:t>
        </w:r>
        <w:r>
          <w:rPr>
            <w:noProof/>
            <w:webHidden/>
          </w:rPr>
          <w:tab/>
        </w:r>
        <w:r w:rsidR="00EA5ED6">
          <w:rPr>
            <w:noProof/>
            <w:webHidden/>
          </w:rPr>
          <w:t>7</w:t>
        </w:r>
      </w:hyperlink>
    </w:p>
    <w:p w14:paraId="51649835" w14:textId="30E4FC75" w:rsidR="006E6227" w:rsidRDefault="006E6227" w:rsidP="005D13C2">
      <w:pPr>
        <w:spacing w:before="240" w:after="240"/>
        <w:rPr>
          <w:b/>
          <w:bCs/>
        </w:rPr>
      </w:pPr>
      <w:r w:rsidRPr="006E6227">
        <w:rPr>
          <w:rFonts w:ascii="Calibri Light" w:hAnsi="Calibri Light" w:cs="Calibri Light"/>
          <w:szCs w:val="24"/>
        </w:rPr>
        <w:fldChar w:fldCharType="end"/>
      </w:r>
    </w:p>
    <w:p w14:paraId="1B3001AC" w14:textId="77777777" w:rsidR="00B34C0C" w:rsidRDefault="006E6227" w:rsidP="005D13C2">
      <w:pPr>
        <w:pStyle w:val="Ttulo1"/>
        <w:spacing w:before="240" w:after="240"/>
      </w:pPr>
      <w:r>
        <w:br w:type="page"/>
      </w:r>
      <w:bookmarkStart w:id="0" w:name="_Toc227332359"/>
      <w:r w:rsidR="00B34C0C">
        <w:lastRenderedPageBreak/>
        <w:t>DISPOSIÇÃO GERAL</w:t>
      </w:r>
      <w:bookmarkEnd w:id="0"/>
    </w:p>
    <w:p w14:paraId="1BBCE3DA" w14:textId="77777777" w:rsidR="00024EC5" w:rsidRPr="00EF3A7B" w:rsidRDefault="00B34C0C" w:rsidP="005D13C2">
      <w:pPr>
        <w:pStyle w:val="Ttulo6"/>
        <w:spacing w:before="240" w:after="240"/>
      </w:pPr>
      <w:bookmarkStart w:id="1" w:name="_Toc227332360"/>
      <w:r w:rsidRPr="00EF3A7B">
        <w:t>Apresentação</w:t>
      </w:r>
      <w:bookmarkEnd w:id="1"/>
    </w:p>
    <w:p w14:paraId="387DD6CC" w14:textId="6A0E1CD7" w:rsidR="00F622A2" w:rsidRPr="002E118A" w:rsidRDefault="00F622A2" w:rsidP="005D13C2">
      <w:pPr>
        <w:spacing w:before="240" w:after="240"/>
      </w:pPr>
      <w:r w:rsidRPr="002E118A">
        <w:t>O presente Manual é de uso institucional d</w:t>
      </w:r>
      <w:r w:rsidR="00684B2A">
        <w:t>o</w:t>
      </w:r>
      <w:r w:rsidRPr="002E118A">
        <w:t xml:space="preserve"> </w:t>
      </w:r>
      <w:r w:rsidR="00BF0205">
        <w:t>IPREM</w:t>
      </w:r>
      <w:r w:rsidR="00290C4C">
        <w:t>A</w:t>
      </w:r>
      <w:r w:rsidR="000A0225" w:rsidRPr="000A0225">
        <w:t xml:space="preserve"> </w:t>
      </w:r>
      <w:r w:rsidR="00BF0205">
        <w:t>–</w:t>
      </w:r>
      <w:r w:rsidR="000A0225" w:rsidRPr="000A0225">
        <w:t xml:space="preserve"> </w:t>
      </w:r>
      <w:r w:rsidR="00290C4C" w:rsidRPr="00290C4C">
        <w:t>INSTITUTO DE PREVIDÊNCIA MUNICIPAL DE ARAXÁ</w:t>
      </w:r>
      <w:r w:rsidRPr="002E118A">
        <w:t xml:space="preserve">, e </w:t>
      </w:r>
      <w:r w:rsidR="00024EC5" w:rsidRPr="002E118A">
        <w:t>tem como principal objetivo aprimorar e padronizar processos de trabalho e instrumentos de controle. Visa padronizar os procedimentos realizados nos setores desta Autarquia, co</w:t>
      </w:r>
      <w:r w:rsidRPr="002E118A">
        <w:t>nstituindo-se em um instrumento</w:t>
      </w:r>
      <w:r w:rsidR="00024EC5" w:rsidRPr="002E118A">
        <w:t xml:space="preserve"> auxiliar no cumprimento de atribuições servindo como fonte de orientação</w:t>
      </w:r>
      <w:r w:rsidR="006E7969">
        <w:t xml:space="preserve"> e</w:t>
      </w:r>
      <w:r w:rsidR="00024EC5" w:rsidRPr="002E118A">
        <w:t xml:space="preserve"> contribuindo para</w:t>
      </w:r>
      <w:r w:rsidR="0012171E">
        <w:t xml:space="preserve"> o</w:t>
      </w:r>
      <w:r w:rsidR="00024EC5" w:rsidRPr="002E118A">
        <w:t xml:space="preserve"> aprimoramento do controle interno.</w:t>
      </w:r>
    </w:p>
    <w:p w14:paraId="4EA61737" w14:textId="34F4ADF0" w:rsidR="00024EC5" w:rsidRPr="002E118A" w:rsidRDefault="00024EC5" w:rsidP="005D13C2">
      <w:pPr>
        <w:spacing w:before="240" w:after="240"/>
      </w:pPr>
      <w:r w:rsidRPr="002E118A">
        <w:t>Contudo, este manual não esgota o assunto, muito pelo contrário, é o marco inicial</w:t>
      </w:r>
      <w:r w:rsidR="00022F94" w:rsidRPr="002E118A">
        <w:t xml:space="preserve"> para que seja aplicado no dia-</w:t>
      </w:r>
      <w:r w:rsidRPr="002E118A">
        <w:t>a-dia</w:t>
      </w:r>
      <w:r w:rsidR="00D15AC5">
        <w:t xml:space="preserve"> sendo</w:t>
      </w:r>
      <w:r w:rsidR="008B4D8B">
        <w:t xml:space="preserve"> </w:t>
      </w:r>
      <w:r w:rsidRPr="002E118A">
        <w:t xml:space="preserve">enriquecido pelas </w:t>
      </w:r>
      <w:r w:rsidR="00EF3A7B" w:rsidRPr="002E118A">
        <w:t>críticas</w:t>
      </w:r>
      <w:r w:rsidRPr="002E118A">
        <w:t xml:space="preserve"> e sugestões de melhorias de toda a equipe. Para atender aos seus objetivos, deverá ser permanentemente atualizado e aprimorado de forma a acompanhar a evolução das atividades desenvolvidas, das técnicas de auditoria/inspeção e da administração pública municipal.</w:t>
      </w:r>
    </w:p>
    <w:p w14:paraId="54D58148" w14:textId="77777777" w:rsidR="00024EC5" w:rsidRDefault="00024EC5" w:rsidP="005D13C2">
      <w:pPr>
        <w:spacing w:before="240" w:after="240"/>
      </w:pPr>
    </w:p>
    <w:p w14:paraId="1DCD7B01" w14:textId="77777777" w:rsidR="00B34C0C" w:rsidRDefault="00B34C0C" w:rsidP="005D13C2">
      <w:pPr>
        <w:pStyle w:val="Ttulo6"/>
        <w:spacing w:before="240" w:after="240"/>
      </w:pPr>
      <w:bookmarkStart w:id="2" w:name="_Toc227332361"/>
      <w:r>
        <w:t>O</w:t>
      </w:r>
      <w:r w:rsidR="00FB57CA">
        <w:t>bjetivo</w:t>
      </w:r>
      <w:r>
        <w:t xml:space="preserve"> Gera</w:t>
      </w:r>
      <w:r w:rsidR="00FB57CA">
        <w:t>l</w:t>
      </w:r>
      <w:bookmarkEnd w:id="2"/>
    </w:p>
    <w:p w14:paraId="6DBF6857" w14:textId="64BFBBAB" w:rsidR="008477E8" w:rsidRDefault="00F84603" w:rsidP="005D13C2">
      <w:pPr>
        <w:spacing w:before="240" w:after="240"/>
      </w:pPr>
      <w:r>
        <w:t xml:space="preserve">O presente manual tem como objetivo </w:t>
      </w:r>
      <w:r w:rsidR="00DF553B">
        <w:t xml:space="preserve">dar </w:t>
      </w:r>
      <w:r>
        <w:t>entendimento quanto às</w:t>
      </w:r>
      <w:r w:rsidR="00DF553B">
        <w:t xml:space="preserve"> </w:t>
      </w:r>
      <w:r w:rsidR="000D5CA6">
        <w:t>informações necessárias para o exercício das atividades que envolvem o processo de investimento d</w:t>
      </w:r>
      <w:r w:rsidR="00BF0205">
        <w:t>o IPREM</w:t>
      </w:r>
      <w:r w:rsidR="00290C4C">
        <w:t>A</w:t>
      </w:r>
      <w:r w:rsidR="00B91418">
        <w:t xml:space="preserve">, bem como as atividades que norteiam esse processo </w:t>
      </w:r>
      <w:r w:rsidR="00723D94">
        <w:t xml:space="preserve">tendo como foco direcionar, </w:t>
      </w:r>
      <w:r w:rsidR="002227B0">
        <w:t xml:space="preserve">padronizar </w:t>
      </w:r>
      <w:r w:rsidR="00723D94">
        <w:t xml:space="preserve">e aprovar </w:t>
      </w:r>
      <w:r w:rsidR="005720F5">
        <w:t>as alocações</w:t>
      </w:r>
      <w:r w:rsidR="00094A39">
        <w:t>/</w:t>
      </w:r>
      <w:r w:rsidR="005720F5">
        <w:t>realocações</w:t>
      </w:r>
      <w:r w:rsidR="008477E8">
        <w:t xml:space="preserve"> </w:t>
      </w:r>
      <w:r w:rsidR="005720F5">
        <w:t>bem como os procedimentos internos que envolvem este process</w:t>
      </w:r>
      <w:r w:rsidR="008477E8">
        <w:t xml:space="preserve">o. </w:t>
      </w:r>
    </w:p>
    <w:p w14:paraId="37AB00D6" w14:textId="77777777" w:rsidR="008B4D8B" w:rsidRDefault="008B4D8B" w:rsidP="005D13C2">
      <w:pPr>
        <w:spacing w:before="240" w:after="240"/>
      </w:pPr>
    </w:p>
    <w:p w14:paraId="364BE86F" w14:textId="77777777" w:rsidR="00D55320" w:rsidRDefault="0050331A" w:rsidP="005D13C2">
      <w:pPr>
        <w:pStyle w:val="Ttulo6"/>
        <w:spacing w:before="240" w:after="240"/>
      </w:pPr>
      <w:bookmarkStart w:id="3" w:name="_Toc227332362"/>
      <w:r>
        <w:t xml:space="preserve">Objetivo </w:t>
      </w:r>
      <w:r w:rsidR="00D55320">
        <w:t>Específico</w:t>
      </w:r>
      <w:bookmarkEnd w:id="3"/>
    </w:p>
    <w:p w14:paraId="1920CA3C" w14:textId="5FCBB209" w:rsidR="00D55320" w:rsidRDefault="005720F5" w:rsidP="00CF72A7">
      <w:pPr>
        <w:spacing w:before="240" w:after="240"/>
      </w:pPr>
      <w:r>
        <w:t xml:space="preserve">Estabelecer orientações para a realização do credenciamento das instituições financeiras que prestam serviço aos fundos de investimento </w:t>
      </w:r>
      <w:r w:rsidR="008959CA">
        <w:t>no quais</w:t>
      </w:r>
      <w:r>
        <w:t xml:space="preserve"> este </w:t>
      </w:r>
      <w:r w:rsidR="00570AA3">
        <w:t>Instituto</w:t>
      </w:r>
      <w:r>
        <w:t xml:space="preserve"> apli</w:t>
      </w:r>
      <w:r w:rsidR="002F152B">
        <w:t>ca</w:t>
      </w:r>
      <w:r>
        <w:t xml:space="preserve"> seus recursos, bem como </w:t>
      </w:r>
      <w:r w:rsidR="00CF72A7">
        <w:t xml:space="preserve">fixar </w:t>
      </w:r>
      <w:r>
        <w:t xml:space="preserve">diretrizes para elaborar e </w:t>
      </w:r>
      <w:r w:rsidR="00CF72A7">
        <w:t xml:space="preserve">aprovar as </w:t>
      </w:r>
      <w:r>
        <w:t>estrat</w:t>
      </w:r>
      <w:r w:rsidR="00CF72A7">
        <w:t>égias de mercado a serem utilizadas.</w:t>
      </w:r>
    </w:p>
    <w:p w14:paraId="19FB2675" w14:textId="77777777" w:rsidR="00DF479C" w:rsidRDefault="00DF479C" w:rsidP="00CF72A7">
      <w:pPr>
        <w:spacing w:before="240" w:after="240"/>
      </w:pPr>
    </w:p>
    <w:p w14:paraId="1CAD777F" w14:textId="3860D131" w:rsidR="00B07C5A" w:rsidRPr="00B07C5A" w:rsidRDefault="00D94975" w:rsidP="00B07C5A">
      <w:pPr>
        <w:pStyle w:val="Ttulo1"/>
      </w:pPr>
      <w:bookmarkStart w:id="4" w:name="_Toc227332363"/>
      <w:r>
        <w:t>PROCESSOS</w:t>
      </w:r>
      <w:bookmarkEnd w:id="4"/>
    </w:p>
    <w:p w14:paraId="1ED540D9" w14:textId="3F1CDA43" w:rsidR="00C9137C" w:rsidRPr="00C9137C" w:rsidRDefault="00C9137C" w:rsidP="00C9137C">
      <w:pPr>
        <w:pStyle w:val="Ttulo6"/>
      </w:pPr>
      <w:bookmarkStart w:id="5" w:name="_Toc227332364"/>
      <w:r w:rsidRPr="00C9137C">
        <w:t>Processo de Credenciamento das Instituições Financeiras</w:t>
      </w:r>
      <w:bookmarkEnd w:id="5"/>
    </w:p>
    <w:p w14:paraId="76257FDF" w14:textId="77777777" w:rsidR="00FB7F6D" w:rsidRDefault="00FB7F6D" w:rsidP="00467DD2">
      <w:pPr>
        <w:spacing w:before="240" w:after="240"/>
      </w:pPr>
      <w:r>
        <w:t>A presente instrução visa esclarecer o processo de credenciamento das instituições financeiras de que o RPPS tenha seus recursos controlados através de fundos de investimentos</w:t>
      </w:r>
      <w:r w:rsidR="000B3401">
        <w:t>.</w:t>
      </w:r>
    </w:p>
    <w:p w14:paraId="17A79350" w14:textId="77777777" w:rsidR="00DC516E" w:rsidRDefault="00DC516E" w:rsidP="00467DD2">
      <w:pPr>
        <w:spacing w:before="240" w:after="240"/>
      </w:pPr>
      <w:r>
        <w:t>Frisa-se que o processo de credenciamento pode se iniciar de duas formas:</w:t>
      </w:r>
    </w:p>
    <w:p w14:paraId="12CB1CF0" w14:textId="71A86FF9" w:rsidR="00191A5D" w:rsidRDefault="00DC516E" w:rsidP="00DC516E">
      <w:pPr>
        <w:numPr>
          <w:ilvl w:val="0"/>
          <w:numId w:val="33"/>
        </w:numPr>
      </w:pPr>
      <w:r>
        <w:t xml:space="preserve">A </w:t>
      </w:r>
      <w:r w:rsidR="00C9137C">
        <w:t xml:space="preserve">Instituição Financeira procura o </w:t>
      </w:r>
      <w:r w:rsidR="00BF0205">
        <w:t>IPREM</w:t>
      </w:r>
      <w:r w:rsidR="00290C4C">
        <w:t>A</w:t>
      </w:r>
      <w:r>
        <w:t xml:space="preserve"> </w:t>
      </w:r>
      <w:r w:rsidR="00C9137C">
        <w:t>para Credenciamento</w:t>
      </w:r>
      <w:r>
        <w:t>; ou</w:t>
      </w:r>
    </w:p>
    <w:p w14:paraId="1521D17F" w14:textId="73451EEB" w:rsidR="00DC516E" w:rsidRDefault="00290C4C" w:rsidP="00DC516E">
      <w:pPr>
        <w:numPr>
          <w:ilvl w:val="0"/>
          <w:numId w:val="33"/>
        </w:numPr>
      </w:pPr>
      <w:r>
        <w:lastRenderedPageBreak/>
        <w:t>IPREMA</w:t>
      </w:r>
      <w:r w:rsidR="00DC516E">
        <w:t xml:space="preserve"> toma conhecimento do Fundo de Investimento e contata a Instituição, apresentando </w:t>
      </w:r>
      <w:r w:rsidR="006D1D01">
        <w:t>e</w:t>
      </w:r>
      <w:r w:rsidR="00DC516E">
        <w:t>dital de credenciamento para fornecimento dos documentos.</w:t>
      </w:r>
    </w:p>
    <w:p w14:paraId="4D6EB25A" w14:textId="796FBF05" w:rsidR="002B069C" w:rsidRDefault="00C80E03" w:rsidP="002B069C">
      <w:r>
        <w:t>Após a Instituição financeira toma</w:t>
      </w:r>
      <w:r w:rsidR="00820374">
        <w:t>r</w:t>
      </w:r>
      <w:r>
        <w:t xml:space="preserve"> conhecimento do </w:t>
      </w:r>
      <w:r w:rsidR="00834B74">
        <w:t>e</w:t>
      </w:r>
      <w:r>
        <w:t xml:space="preserve">dital de </w:t>
      </w:r>
      <w:r w:rsidR="00834B74">
        <w:t>c</w:t>
      </w:r>
      <w:r>
        <w:t xml:space="preserve">redenciamento, </w:t>
      </w:r>
      <w:r w:rsidR="002B069C">
        <w:t>providencia ao RPPS os documentos necessários para dar início ao credenciamento</w:t>
      </w:r>
      <w:r w:rsidR="00820374">
        <w:t xml:space="preserve"> </w:t>
      </w:r>
      <w:r w:rsidR="002B069C">
        <w:t>seguindo os seguintes passos:</w:t>
      </w:r>
    </w:p>
    <w:p w14:paraId="2ABD0FE5" w14:textId="77777777" w:rsidR="002B069C" w:rsidRDefault="002B069C" w:rsidP="00D14ABB">
      <w:pPr>
        <w:numPr>
          <w:ilvl w:val="0"/>
          <w:numId w:val="35"/>
        </w:numPr>
      </w:pPr>
      <w:r>
        <w:t xml:space="preserve">Após a entrega de documentos, o departamento de investimentos recebe os documentos </w:t>
      </w:r>
      <w:r w:rsidR="00D14ABB">
        <w:t>e efetua a 1ª</w:t>
      </w:r>
      <w:r>
        <w:t xml:space="preserve"> análise documental</w:t>
      </w:r>
      <w:r w:rsidR="00D14ABB">
        <w:t>;</w:t>
      </w:r>
    </w:p>
    <w:p w14:paraId="32179EEE" w14:textId="77777777" w:rsidR="00D14ABB" w:rsidRDefault="00D14ABB" w:rsidP="00D14ABB">
      <w:pPr>
        <w:numPr>
          <w:ilvl w:val="0"/>
          <w:numId w:val="35"/>
        </w:numPr>
      </w:pPr>
      <w:r>
        <w:t xml:space="preserve">Sendo a análise negativa, isto é, não preenche todos os documentos e/ou requisitos, o RPPS identifica a pendência documental e efetua solicitação </w:t>
      </w:r>
      <w:r w:rsidR="00620334">
        <w:t xml:space="preserve">complementar </w:t>
      </w:r>
      <w:r>
        <w:t>posteriormente;</w:t>
      </w:r>
    </w:p>
    <w:p w14:paraId="4F38E907" w14:textId="77777777" w:rsidR="00620334" w:rsidRDefault="00620334" w:rsidP="00D14ABB">
      <w:pPr>
        <w:numPr>
          <w:ilvl w:val="0"/>
          <w:numId w:val="35"/>
        </w:numPr>
      </w:pPr>
      <w:r>
        <w:t>Em sendo positiva a análise, isto é, o RPPS possui todos os documentos requisitados, abre-se o processo de credenciamento da Instituição Financeira;</w:t>
      </w:r>
    </w:p>
    <w:p w14:paraId="55507FD8" w14:textId="2DE9CAD2" w:rsidR="00620334" w:rsidRDefault="00620334" w:rsidP="00E76ED4">
      <w:pPr>
        <w:numPr>
          <w:ilvl w:val="0"/>
          <w:numId w:val="35"/>
        </w:numPr>
      </w:pPr>
      <w:r>
        <w:t>Os documentos são encaminhados ao Comitê de Investimentos para análise e deliberação</w:t>
      </w:r>
      <w:r w:rsidR="00E76ED4">
        <w:t xml:space="preserve">, de modo que o Comitê </w:t>
      </w:r>
      <w:r w:rsidR="00834B74">
        <w:t xml:space="preserve">possa </w:t>
      </w:r>
      <w:r w:rsidR="001B4CCC">
        <w:t>avaliar</w:t>
      </w:r>
      <w:r w:rsidR="00834B74">
        <w:t xml:space="preserve"> a adequação aos requisitos necessários para o</w:t>
      </w:r>
      <w:r w:rsidR="00E76ED4">
        <w:t xml:space="preserve"> credenciamento da Instituição Financeira;</w:t>
      </w:r>
    </w:p>
    <w:p w14:paraId="0C455431" w14:textId="77777777" w:rsidR="00E76ED4" w:rsidRDefault="00E76ED4" w:rsidP="00E76ED4">
      <w:pPr>
        <w:numPr>
          <w:ilvl w:val="0"/>
          <w:numId w:val="35"/>
        </w:numPr>
      </w:pPr>
      <w:r>
        <w:t>Sendo a análise negativa, o departamento de investimentos comunica a Instituição Financeira acerca da não habilitaç</w:t>
      </w:r>
      <w:r w:rsidR="008144A3">
        <w:t>ão, podendo esta recorrer da decisão ou não e, caso recorra, será aberto novo processo de coleta de documentos;</w:t>
      </w:r>
    </w:p>
    <w:p w14:paraId="5ABBA3A8" w14:textId="77777777" w:rsidR="008144A3" w:rsidRDefault="008144A3" w:rsidP="008144A3">
      <w:pPr>
        <w:numPr>
          <w:ilvl w:val="0"/>
          <w:numId w:val="35"/>
        </w:numPr>
      </w:pPr>
      <w:r>
        <w:t>Sendo a análise positiva, o processo é encaminhado para a homologação do Conselho Deliberativo</w:t>
      </w:r>
      <w:r w:rsidR="00BA3FAB">
        <w:t>, que poderá ser desfavorável ou favorável;</w:t>
      </w:r>
    </w:p>
    <w:p w14:paraId="6B824549" w14:textId="7D4908E4" w:rsidR="00BA3FAB" w:rsidRDefault="00BA3FAB" w:rsidP="008144A3">
      <w:pPr>
        <w:numPr>
          <w:ilvl w:val="0"/>
          <w:numId w:val="35"/>
        </w:numPr>
      </w:pPr>
      <w:r>
        <w:t>Sendo desfavorável, a Instituição Financeira recebe o comunicado acerca da não habilitação, podendo recorrer conform</w:t>
      </w:r>
      <w:r w:rsidR="00321CD3">
        <w:t>e</w:t>
      </w:r>
      <w:r>
        <w:t xml:space="preserve"> mencionado;</w:t>
      </w:r>
    </w:p>
    <w:p w14:paraId="7FA8F8E0" w14:textId="77777777" w:rsidR="00BA3FAB" w:rsidRDefault="00BA3FAB" w:rsidP="008144A3">
      <w:pPr>
        <w:numPr>
          <w:ilvl w:val="0"/>
          <w:numId w:val="35"/>
        </w:numPr>
      </w:pPr>
      <w:r>
        <w:t xml:space="preserve">Sendo favorável a decisão, </w:t>
      </w:r>
      <w:r w:rsidR="0012720C">
        <w:t>o d</w:t>
      </w:r>
      <w:r>
        <w:t>ep</w:t>
      </w:r>
      <w:r w:rsidR="0012720C">
        <w:t>artamento de i</w:t>
      </w:r>
      <w:r>
        <w:t xml:space="preserve">nvestimentos </w:t>
      </w:r>
      <w:r w:rsidR="0012720C">
        <w:t>realiza a emissão do at</w:t>
      </w:r>
      <w:r>
        <w:t>estado</w:t>
      </w:r>
      <w:r w:rsidR="0012720C">
        <w:t xml:space="preserve"> de credenciamento, dando publicidade ao documento logo após sua elaboração;</w:t>
      </w:r>
    </w:p>
    <w:p w14:paraId="1060B738" w14:textId="77777777" w:rsidR="0012720C" w:rsidRDefault="00D2126D" w:rsidP="008144A3">
      <w:pPr>
        <w:numPr>
          <w:ilvl w:val="0"/>
          <w:numId w:val="35"/>
        </w:numPr>
      </w:pPr>
      <w:r>
        <w:t xml:space="preserve">Depois de providenciado o atestado, haverá a necessidade de atualizar o </w:t>
      </w:r>
      <w:r w:rsidR="0012720C">
        <w:t>DAIR com os dados do habilitado</w:t>
      </w:r>
      <w:r>
        <w:t>;</w:t>
      </w:r>
    </w:p>
    <w:p w14:paraId="69618CF9" w14:textId="77777777" w:rsidR="00D2126D" w:rsidRDefault="00D2126D" w:rsidP="00D2126D">
      <w:pPr>
        <w:numPr>
          <w:ilvl w:val="0"/>
          <w:numId w:val="35"/>
        </w:numPr>
      </w:pPr>
      <w:r>
        <w:t>Através de senha e login próprio é feito o preenchimento do DAIR via CADPREV WEB</w:t>
      </w:r>
    </w:p>
    <w:p w14:paraId="5E6A1E0C" w14:textId="77777777" w:rsidR="00E76ED4" w:rsidRDefault="00D2126D" w:rsidP="00D2126D">
      <w:pPr>
        <w:numPr>
          <w:ilvl w:val="0"/>
          <w:numId w:val="35"/>
        </w:numPr>
      </w:pPr>
      <w:r>
        <w:t>Frisa-se que o credenciamento exige atualização, portanto o RPPS deverá promover o acompanhamento e a atualização periódica</w:t>
      </w:r>
      <w:r w:rsidR="00DA6044">
        <w:t xml:space="preserve"> do credenciamento.</w:t>
      </w:r>
    </w:p>
    <w:p w14:paraId="280F9A49" w14:textId="77777777" w:rsidR="00DA6044" w:rsidRDefault="00DA6044" w:rsidP="00DA6044"/>
    <w:p w14:paraId="799EB9E2" w14:textId="77777777" w:rsidR="00DC516E" w:rsidRDefault="00DA6044" w:rsidP="00DA6044">
      <w:pPr>
        <w:pStyle w:val="Ttulo6"/>
      </w:pPr>
      <w:bookmarkStart w:id="6" w:name="_Toc227332365"/>
      <w:r w:rsidRPr="00DA6044">
        <w:t>Processo de Atualização do Credenciamento das Instituições</w:t>
      </w:r>
      <w:r>
        <w:t xml:space="preserve"> Financeiras</w:t>
      </w:r>
      <w:bookmarkEnd w:id="6"/>
    </w:p>
    <w:p w14:paraId="594E0B5C" w14:textId="77777777" w:rsidR="00DA6044" w:rsidRDefault="00DA6044" w:rsidP="00DA6044">
      <w:pPr>
        <w:spacing w:before="240" w:after="240"/>
      </w:pPr>
      <w:r>
        <w:t xml:space="preserve">A presente instrução visa esclarecer o processo de </w:t>
      </w:r>
      <w:r w:rsidR="000B3401">
        <w:t xml:space="preserve">atualização do </w:t>
      </w:r>
      <w:r>
        <w:t>credenciamento das instituições financeiras de que o RPPS tenha seus recursos controlados através de fundos de investimentos</w:t>
      </w:r>
      <w:r w:rsidR="000B3401">
        <w:t>.</w:t>
      </w:r>
    </w:p>
    <w:p w14:paraId="2216B6CB" w14:textId="77777777" w:rsidR="00DA6044" w:rsidRDefault="00531169" w:rsidP="00D44E8F">
      <w:pPr>
        <w:numPr>
          <w:ilvl w:val="0"/>
          <w:numId w:val="38"/>
        </w:numPr>
      </w:pPr>
      <w:r>
        <w:t xml:space="preserve">O departamento </w:t>
      </w:r>
      <w:r w:rsidR="000B3401">
        <w:t>de Investimentos faz acompanhamento para atualização;</w:t>
      </w:r>
    </w:p>
    <w:p w14:paraId="5C6F5293" w14:textId="6E4EF464" w:rsidR="00E91115" w:rsidRDefault="000B3401" w:rsidP="00AE37CC">
      <w:pPr>
        <w:numPr>
          <w:ilvl w:val="0"/>
          <w:numId w:val="38"/>
        </w:numPr>
      </w:pPr>
      <w:r>
        <w:lastRenderedPageBreak/>
        <w:t xml:space="preserve">Contata a Instituição e apresenta Edital de </w:t>
      </w:r>
      <w:r w:rsidR="00531169">
        <w:t xml:space="preserve">Credenciamento </w:t>
      </w:r>
      <w:r>
        <w:t xml:space="preserve">para fornecimento dos </w:t>
      </w:r>
      <w:r w:rsidR="00531169">
        <w:t>documentos;</w:t>
      </w:r>
    </w:p>
    <w:p w14:paraId="35BFC086" w14:textId="77777777" w:rsidR="00E91115" w:rsidRDefault="00531169" w:rsidP="00E91115">
      <w:pPr>
        <w:numPr>
          <w:ilvl w:val="0"/>
          <w:numId w:val="38"/>
        </w:numPr>
      </w:pPr>
      <w:r>
        <w:t>A Instituição Financeira to</w:t>
      </w:r>
      <w:r w:rsidR="000B3401">
        <w:t>ma conhecimento do Edital de Cr</w:t>
      </w:r>
      <w:r w:rsidR="009D3906">
        <w:t xml:space="preserve">edenciamento, </w:t>
      </w:r>
      <w:r w:rsidR="000B3401">
        <w:t>providencia</w:t>
      </w:r>
      <w:r w:rsidR="009D3906">
        <w:t>ndo</w:t>
      </w:r>
      <w:r>
        <w:t xml:space="preserve"> os documentos necessários </w:t>
      </w:r>
      <w:r w:rsidR="009D3906">
        <w:t>para apresentar ao RPPS;</w:t>
      </w:r>
    </w:p>
    <w:p w14:paraId="18499678" w14:textId="77777777" w:rsidR="00E91115" w:rsidRDefault="009D3906" w:rsidP="00E91115">
      <w:pPr>
        <w:numPr>
          <w:ilvl w:val="0"/>
          <w:numId w:val="38"/>
        </w:numPr>
      </w:pPr>
      <w:r>
        <w:t>O Departamento de Investimentos recebe os documentos e efetua análise documental;</w:t>
      </w:r>
    </w:p>
    <w:p w14:paraId="5576FD65" w14:textId="77777777" w:rsidR="00D44E8F" w:rsidRDefault="00D44E8F" w:rsidP="005672D8">
      <w:pPr>
        <w:numPr>
          <w:ilvl w:val="0"/>
          <w:numId w:val="38"/>
        </w:numPr>
      </w:pPr>
      <w:r>
        <w:t>Sendo a análise negativa, isto é, não preenche todos os documentos e/ou requisitos, o RPPS identifica a pendência documental e efetua solicitação complementar posteriormente;</w:t>
      </w:r>
    </w:p>
    <w:p w14:paraId="50E3FB1C" w14:textId="77777777" w:rsidR="00D44E8F" w:rsidRDefault="00D44E8F" w:rsidP="005672D8">
      <w:pPr>
        <w:numPr>
          <w:ilvl w:val="0"/>
          <w:numId w:val="38"/>
        </w:numPr>
      </w:pPr>
      <w:r>
        <w:t xml:space="preserve">Em sendo positiva a análise, isto é, o RPPS possui todos os documentos requisitados, abre-se </w:t>
      </w:r>
      <w:r w:rsidR="00771D9B">
        <w:t>a atualização do</w:t>
      </w:r>
      <w:r>
        <w:t xml:space="preserve"> credenciamento da Instituição Financeira;</w:t>
      </w:r>
    </w:p>
    <w:p w14:paraId="55253ED5" w14:textId="5AF42972" w:rsidR="00D44E8F" w:rsidRDefault="00D44E8F" w:rsidP="005672D8">
      <w:pPr>
        <w:numPr>
          <w:ilvl w:val="0"/>
          <w:numId w:val="38"/>
        </w:numPr>
      </w:pPr>
      <w:r>
        <w:t xml:space="preserve">Os documentos são encaminhados ao Comitê de Investimentos para análise e deliberação de modo que o Comitê </w:t>
      </w:r>
      <w:r w:rsidR="007749CB">
        <w:t xml:space="preserve">possa </w:t>
      </w:r>
      <w:r w:rsidR="00EB61C0">
        <w:t>julgar</w:t>
      </w:r>
      <w:r>
        <w:t xml:space="preserve"> </w:t>
      </w:r>
      <w:r w:rsidR="001E48AB">
        <w:t>a continuidade</w:t>
      </w:r>
      <w:r w:rsidR="00771D9B">
        <w:t xml:space="preserve"> </w:t>
      </w:r>
      <w:r w:rsidR="001E48AB">
        <w:t>do</w:t>
      </w:r>
      <w:r w:rsidR="00771D9B">
        <w:t xml:space="preserve"> </w:t>
      </w:r>
      <w:r>
        <w:t>credenciamento da Instituição Financeira;</w:t>
      </w:r>
    </w:p>
    <w:p w14:paraId="10E84D2B" w14:textId="44F5C567" w:rsidR="00D44E8F" w:rsidRDefault="00D44E8F" w:rsidP="005672D8">
      <w:pPr>
        <w:numPr>
          <w:ilvl w:val="0"/>
          <w:numId w:val="38"/>
        </w:numPr>
      </w:pPr>
      <w:r>
        <w:t>Sendo a análise negativa, o departamento de investimentos comunica a Instituição Financeira acerca da não habilitação, podendo esta recorrer da decisão ou não</w:t>
      </w:r>
      <w:r w:rsidR="001E48AB">
        <w:t>.</w:t>
      </w:r>
    </w:p>
    <w:p w14:paraId="1A6298F8" w14:textId="64C0CED6" w:rsidR="00D44E8F" w:rsidRDefault="00D44E8F" w:rsidP="00CE34AB">
      <w:pPr>
        <w:numPr>
          <w:ilvl w:val="0"/>
          <w:numId w:val="38"/>
        </w:numPr>
      </w:pPr>
      <w:r>
        <w:t>Sendo a análise positiva, o</w:t>
      </w:r>
      <w:r w:rsidR="001E48AB">
        <w:t xml:space="preserve"> credenciamento é continuado e o vínculo com a instituição financeira mantido. </w:t>
      </w:r>
      <w:r w:rsidR="00CE34AB">
        <w:t>O</w:t>
      </w:r>
      <w:r>
        <w:t xml:space="preserve"> departamento de investimentos realiza a emissão do atestado de </w:t>
      </w:r>
      <w:r w:rsidR="00CE34AB">
        <w:t xml:space="preserve">renovação de </w:t>
      </w:r>
      <w:r>
        <w:t>credenciamento, dando publicidade ao documento logo após sua elaboração;</w:t>
      </w:r>
    </w:p>
    <w:p w14:paraId="53931F02" w14:textId="77777777" w:rsidR="00D44E8F" w:rsidRDefault="00D44E8F" w:rsidP="005672D8">
      <w:pPr>
        <w:numPr>
          <w:ilvl w:val="0"/>
          <w:numId w:val="38"/>
        </w:numPr>
      </w:pPr>
      <w:r>
        <w:t>Depois de providenciado o atestado, haverá a necessidade de atualizar o DAIR com os dados do habilitado;</w:t>
      </w:r>
    </w:p>
    <w:p w14:paraId="4E19836A" w14:textId="77777777" w:rsidR="00D44E8F" w:rsidRDefault="00D44E8F" w:rsidP="005672D8">
      <w:pPr>
        <w:numPr>
          <w:ilvl w:val="0"/>
          <w:numId w:val="38"/>
        </w:numPr>
      </w:pPr>
      <w:r>
        <w:t>Através de senha e login próprio é feito o preenchimento do DAIR via CADPREV WEB</w:t>
      </w:r>
    </w:p>
    <w:p w14:paraId="43D364BB" w14:textId="77777777" w:rsidR="009D3906" w:rsidRDefault="009D3906" w:rsidP="009D3906"/>
    <w:p w14:paraId="1FCC3101" w14:textId="77777777" w:rsidR="009D3906" w:rsidRDefault="0058306F" w:rsidP="0032675B">
      <w:pPr>
        <w:pStyle w:val="Ttulo6"/>
      </w:pPr>
      <w:bookmarkStart w:id="7" w:name="_Toc227332366"/>
      <w:r>
        <w:t>Processo de Elaboração e Aprovação da Política de Investimentos</w:t>
      </w:r>
      <w:bookmarkEnd w:id="7"/>
    </w:p>
    <w:p w14:paraId="7780A962" w14:textId="77777777" w:rsidR="00574DD0" w:rsidRDefault="00574DD0" w:rsidP="00574DD0">
      <w:pPr>
        <w:spacing w:before="240" w:after="240"/>
      </w:pPr>
      <w:r>
        <w:t xml:space="preserve">A presente instrução visa esclarecer o processo </w:t>
      </w:r>
      <w:r w:rsidR="008C4AE1">
        <w:t>elaboração e aprovação da Política de Investimentos do RPPS.</w:t>
      </w:r>
    </w:p>
    <w:p w14:paraId="1DEF1362" w14:textId="77777777" w:rsidR="00800E05" w:rsidRDefault="00C22E7B" w:rsidP="00CD4993">
      <w:pPr>
        <w:numPr>
          <w:ilvl w:val="0"/>
          <w:numId w:val="40"/>
        </w:numPr>
        <w:spacing w:before="240" w:after="240"/>
      </w:pPr>
      <w:r>
        <w:t xml:space="preserve">A </w:t>
      </w:r>
      <w:r w:rsidR="00800E05">
        <w:t xml:space="preserve">Consultoria </w:t>
      </w:r>
      <w:r>
        <w:t xml:space="preserve">contratada </w:t>
      </w:r>
      <w:r w:rsidR="00800E05">
        <w:t>disponibiliza minuta da Política de Investimentos para o exercício como sugestão;</w:t>
      </w:r>
    </w:p>
    <w:p w14:paraId="77C756F6" w14:textId="77777777" w:rsidR="00800E05" w:rsidRDefault="00C22E7B" w:rsidP="00CD4993">
      <w:pPr>
        <w:numPr>
          <w:ilvl w:val="0"/>
          <w:numId w:val="40"/>
        </w:numPr>
        <w:spacing w:before="240" w:after="240"/>
      </w:pPr>
      <w:r>
        <w:t xml:space="preserve">O </w:t>
      </w:r>
      <w:r w:rsidR="00546E87">
        <w:t>Departamento de Investimentos acessa a minuta da Política de Investimentos, analise e faz os ajustes necessários;</w:t>
      </w:r>
    </w:p>
    <w:p w14:paraId="35601CB2" w14:textId="77777777" w:rsidR="00C22E7B" w:rsidRDefault="00C22E7B" w:rsidP="00CD4993">
      <w:pPr>
        <w:numPr>
          <w:ilvl w:val="0"/>
          <w:numId w:val="40"/>
        </w:numPr>
        <w:spacing w:before="240" w:after="240"/>
      </w:pPr>
      <w:r>
        <w:t>A minuta é di</w:t>
      </w:r>
      <w:r w:rsidR="00546E87">
        <w:t>sponibiliza</w:t>
      </w:r>
      <w:r>
        <w:t>da</w:t>
      </w:r>
      <w:r w:rsidR="00546E87">
        <w:t xml:space="preserve"> </w:t>
      </w:r>
      <w:r>
        <w:t>ao</w:t>
      </w:r>
      <w:r w:rsidR="00546E87">
        <w:t xml:space="preserve"> Comitê de Investimentos para análise e apreciação</w:t>
      </w:r>
      <w:r>
        <w:t>;</w:t>
      </w:r>
    </w:p>
    <w:p w14:paraId="43399FEC" w14:textId="77777777" w:rsidR="003E0ABC" w:rsidRDefault="00C22E7B" w:rsidP="00CD4993">
      <w:pPr>
        <w:numPr>
          <w:ilvl w:val="0"/>
          <w:numId w:val="40"/>
        </w:numPr>
        <w:spacing w:before="240" w:after="240"/>
      </w:pPr>
      <w:r>
        <w:t>O Comitê de Investimentos analisa e delibera sobre a Política de Investimentos;</w:t>
      </w:r>
    </w:p>
    <w:p w14:paraId="14B8F09C" w14:textId="77777777" w:rsidR="0055613E" w:rsidRDefault="00C22E7B" w:rsidP="00CD4993">
      <w:pPr>
        <w:numPr>
          <w:ilvl w:val="0"/>
          <w:numId w:val="40"/>
        </w:numPr>
        <w:spacing w:before="240" w:after="240"/>
      </w:pPr>
      <w:r>
        <w:t xml:space="preserve">Em sendo negativo o resultado da deliberação, o Comitê não aprova e retorna para o Departamento de Investimentos com as sugestões </w:t>
      </w:r>
      <w:r w:rsidR="0055613E">
        <w:t>e dúvidas;</w:t>
      </w:r>
    </w:p>
    <w:p w14:paraId="15F35C47" w14:textId="60582960" w:rsidR="006424DD" w:rsidRDefault="0055613E" w:rsidP="00CD4993">
      <w:pPr>
        <w:numPr>
          <w:ilvl w:val="0"/>
          <w:numId w:val="40"/>
        </w:numPr>
        <w:spacing w:before="240" w:after="240"/>
      </w:pPr>
      <w:r>
        <w:lastRenderedPageBreak/>
        <w:t>O Departamento de Investimentos r</w:t>
      </w:r>
      <w:r w:rsidR="005655C8">
        <w:t xml:space="preserve">ecebe as sugestões </w:t>
      </w:r>
      <w:r>
        <w:t xml:space="preserve">e </w:t>
      </w:r>
      <w:r w:rsidR="005655C8">
        <w:t>dúvidas</w:t>
      </w:r>
      <w:r>
        <w:t xml:space="preserve">, </w:t>
      </w:r>
      <w:r w:rsidR="005655C8">
        <w:t>analis</w:t>
      </w:r>
      <w:r w:rsidR="00F82F46">
        <w:t>a</w:t>
      </w:r>
      <w:r>
        <w:t xml:space="preserve">, ajusta e esclarece </w:t>
      </w:r>
      <w:r w:rsidR="00026531">
        <w:t xml:space="preserve">as </w:t>
      </w:r>
      <w:r>
        <w:t>dúvidas</w:t>
      </w:r>
      <w:r w:rsidR="006424DD">
        <w:t>, devolvendo a minuta com ajustes para que seja realizada a análise novamente;</w:t>
      </w:r>
    </w:p>
    <w:p w14:paraId="3427CDD6" w14:textId="77777777" w:rsidR="006424DD" w:rsidRDefault="003B1D92" w:rsidP="00CD4993">
      <w:pPr>
        <w:numPr>
          <w:ilvl w:val="0"/>
          <w:numId w:val="40"/>
        </w:numPr>
        <w:spacing w:before="240" w:after="240"/>
      </w:pPr>
      <w:r>
        <w:t>Em sendo positivo o resultado da deliberação, o Comitê aprova e retorna para o Departamento de Investimentos para</w:t>
      </w:r>
      <w:r w:rsidR="00980ACB">
        <w:t xml:space="preserve"> que a política seja disponibilizada </w:t>
      </w:r>
      <w:r>
        <w:t>ao Conselho Deliberativo</w:t>
      </w:r>
      <w:r w:rsidR="00980ACB">
        <w:t xml:space="preserve"> para análise e apreciação;</w:t>
      </w:r>
    </w:p>
    <w:p w14:paraId="76104D80" w14:textId="77777777" w:rsidR="00C22E7B" w:rsidRDefault="00980ACB" w:rsidP="00CD4993">
      <w:pPr>
        <w:numPr>
          <w:ilvl w:val="0"/>
          <w:numId w:val="40"/>
        </w:numPr>
        <w:spacing w:before="240" w:after="240"/>
      </w:pPr>
      <w:r>
        <w:t>O Conselho Deliberativo analisa e delibera sobre a Política de Investimentos;</w:t>
      </w:r>
    </w:p>
    <w:p w14:paraId="6A7A21A2" w14:textId="77777777" w:rsidR="00980ACB" w:rsidRDefault="00980ACB" w:rsidP="00CD4993">
      <w:pPr>
        <w:numPr>
          <w:ilvl w:val="0"/>
          <w:numId w:val="40"/>
        </w:numPr>
        <w:spacing w:before="240" w:after="240"/>
      </w:pPr>
      <w:r>
        <w:t>Em sendo negativo o resultado da deliberação, o Conselho Deliberativo não aprova e retorna para o Departamento de Investimento com as sugestões e dúvidas</w:t>
      </w:r>
      <w:r w:rsidR="00D11A7A">
        <w:t>, de modo que o Departamento de Investimentos ajuste e esclareça as dúvidas resultantes deste processo e reencaminhe para análise e aprovação novamente;</w:t>
      </w:r>
    </w:p>
    <w:p w14:paraId="6A6920AF" w14:textId="77777777" w:rsidR="00D11A7A" w:rsidRDefault="00D11A7A" w:rsidP="00CD4993">
      <w:pPr>
        <w:numPr>
          <w:ilvl w:val="0"/>
          <w:numId w:val="40"/>
        </w:numPr>
        <w:spacing w:before="240" w:after="240"/>
      </w:pPr>
      <w:r>
        <w:t>Em sendo positivo o resultado da deliberação, o Conselho Deliberativo aprova e retorna a Política de Investimentos para o Departamento de Investimentos para disponibilização;</w:t>
      </w:r>
    </w:p>
    <w:p w14:paraId="5E17DBCC" w14:textId="77777777" w:rsidR="00D11A7A" w:rsidRDefault="00D11A7A" w:rsidP="00CD4993">
      <w:pPr>
        <w:numPr>
          <w:ilvl w:val="0"/>
          <w:numId w:val="40"/>
        </w:numPr>
        <w:spacing w:before="240" w:after="240"/>
      </w:pPr>
      <w:r>
        <w:t>O Departamento de Investimento recebe a Política de Investimentos aprovada e disponibiliza à consultoria e SPREV;</w:t>
      </w:r>
    </w:p>
    <w:p w14:paraId="54581579" w14:textId="77777777" w:rsidR="00D11A7A" w:rsidRDefault="00F735B6" w:rsidP="00CD4993">
      <w:pPr>
        <w:numPr>
          <w:ilvl w:val="0"/>
          <w:numId w:val="40"/>
        </w:numPr>
        <w:spacing w:before="240" w:after="240"/>
      </w:pPr>
      <w:r>
        <w:t>Através de senha e login próprio, o RPPS efetua o preenchimento feito via DPIN no CADPREV WEB;</w:t>
      </w:r>
    </w:p>
    <w:p w14:paraId="523CA02B" w14:textId="206CB3F6" w:rsidR="00F735B6" w:rsidRDefault="00F735B6" w:rsidP="00CD4993">
      <w:pPr>
        <w:numPr>
          <w:ilvl w:val="0"/>
          <w:numId w:val="40"/>
        </w:numPr>
        <w:spacing w:before="240" w:after="240"/>
      </w:pPr>
      <w:r>
        <w:t xml:space="preserve">O RPPS acaba por disponibilizar a Política no site do </w:t>
      </w:r>
      <w:r w:rsidR="00290C4C">
        <w:t>IPREMA</w:t>
      </w:r>
      <w:r>
        <w:t xml:space="preserve"> para consulta dos interessados;</w:t>
      </w:r>
    </w:p>
    <w:p w14:paraId="7AD969F5" w14:textId="77777777" w:rsidR="00F735B6" w:rsidRDefault="00F735B6" w:rsidP="00CD4993">
      <w:pPr>
        <w:numPr>
          <w:ilvl w:val="0"/>
          <w:numId w:val="40"/>
        </w:numPr>
        <w:spacing w:before="240" w:after="240"/>
      </w:pPr>
      <w:r>
        <w:t>No 2º semestre o Departamento de Investimentos busca a revisão da PI</w:t>
      </w:r>
      <w:r w:rsidR="00CD4993">
        <w:t xml:space="preserve">, solicitando </w:t>
      </w:r>
      <w:r>
        <w:t xml:space="preserve">a </w:t>
      </w:r>
      <w:r w:rsidR="00CD4993">
        <w:t xml:space="preserve">Consultoria contratada uma </w:t>
      </w:r>
      <w:r>
        <w:t>minuta de sugestão para revisão</w:t>
      </w:r>
      <w:r w:rsidR="00CD4993">
        <w:t>;</w:t>
      </w:r>
    </w:p>
    <w:p w14:paraId="01C2E221" w14:textId="77777777" w:rsidR="00980ACB" w:rsidRDefault="00CD4993" w:rsidP="003E0ABC">
      <w:pPr>
        <w:numPr>
          <w:ilvl w:val="0"/>
          <w:numId w:val="40"/>
        </w:numPr>
        <w:spacing w:before="240" w:after="240"/>
      </w:pPr>
      <w:r>
        <w:t xml:space="preserve">Frisa-se que a Consultoria recebe a Política de Investimento já aprovada e providencia a </w:t>
      </w:r>
      <w:r w:rsidR="00F735B6">
        <w:t>atualização no sistema</w:t>
      </w:r>
      <w:r>
        <w:t xml:space="preserve"> interno.</w:t>
      </w:r>
    </w:p>
    <w:p w14:paraId="2C69C4DC" w14:textId="77777777" w:rsidR="00DF479C" w:rsidRDefault="00DF479C" w:rsidP="00DF479C"/>
    <w:p w14:paraId="70B20097" w14:textId="77777777" w:rsidR="00531169" w:rsidRDefault="00F0267A" w:rsidP="00F0267A">
      <w:pPr>
        <w:pStyle w:val="Ttulo6"/>
      </w:pPr>
      <w:bookmarkStart w:id="8" w:name="_Toc227332367"/>
      <w:r w:rsidRPr="00F0267A">
        <w:t>Processo de Autorização para Aplicação e Resgate</w:t>
      </w:r>
      <w:bookmarkEnd w:id="8"/>
    </w:p>
    <w:p w14:paraId="77CD9B6F" w14:textId="77777777" w:rsidR="00F0267A" w:rsidRDefault="00F0267A" w:rsidP="00F0267A">
      <w:pPr>
        <w:spacing w:before="240" w:after="240"/>
      </w:pPr>
      <w:r>
        <w:t>A presente instrução visa esclarecer o processo de autorização para aplicações e resgates do RPPS:</w:t>
      </w:r>
    </w:p>
    <w:p w14:paraId="25D0F7D3" w14:textId="19E8C3D4" w:rsidR="001D525D" w:rsidRDefault="00290C4C" w:rsidP="00165181">
      <w:pPr>
        <w:numPr>
          <w:ilvl w:val="0"/>
          <w:numId w:val="42"/>
        </w:numPr>
        <w:spacing w:before="240" w:after="240"/>
      </w:pPr>
      <w:r>
        <w:t>IPREMA</w:t>
      </w:r>
      <w:r w:rsidR="00F0267A">
        <w:t xml:space="preserve"> recebe repasse do Ente </w:t>
      </w:r>
      <w:r w:rsidR="001D525D">
        <w:t>federativo e identifica a necessidade de realocação;</w:t>
      </w:r>
    </w:p>
    <w:p w14:paraId="5CC00EED" w14:textId="77777777" w:rsidR="001D525D" w:rsidRDefault="001D525D" w:rsidP="00165181">
      <w:pPr>
        <w:numPr>
          <w:ilvl w:val="0"/>
          <w:numId w:val="42"/>
        </w:numPr>
        <w:spacing w:before="240" w:after="240"/>
      </w:pPr>
      <w:r>
        <w:t>Assim, solicita a Consultoria contratada uma sugestão de realocação através de sistema próprio;</w:t>
      </w:r>
    </w:p>
    <w:p w14:paraId="4F09798E" w14:textId="77777777" w:rsidR="001D525D" w:rsidRDefault="001D525D" w:rsidP="00165181">
      <w:pPr>
        <w:numPr>
          <w:ilvl w:val="0"/>
          <w:numId w:val="42"/>
        </w:numPr>
        <w:spacing w:before="240" w:after="240"/>
      </w:pPr>
      <w:r>
        <w:t>A Consultoria emite relatório de análise e sugestão para realocação dos recursos;</w:t>
      </w:r>
    </w:p>
    <w:p w14:paraId="39892629" w14:textId="77777777" w:rsidR="00124220" w:rsidRDefault="00124220" w:rsidP="00165181">
      <w:pPr>
        <w:numPr>
          <w:ilvl w:val="0"/>
          <w:numId w:val="42"/>
        </w:numPr>
        <w:spacing w:before="240" w:after="240"/>
      </w:pPr>
      <w:r>
        <w:lastRenderedPageBreak/>
        <w:t>O Departamento de Investimentos recebe o relatório, analisa e submete a aprovação do gestor dos recursos;</w:t>
      </w:r>
    </w:p>
    <w:p w14:paraId="5D89CA1C" w14:textId="6B79AC4E" w:rsidR="00124220" w:rsidRDefault="001F428F" w:rsidP="00165181">
      <w:pPr>
        <w:numPr>
          <w:ilvl w:val="0"/>
          <w:numId w:val="42"/>
        </w:numPr>
        <w:spacing w:before="240" w:after="240"/>
      </w:pPr>
      <w:r>
        <w:t>O g</w:t>
      </w:r>
      <w:r w:rsidR="00124220">
        <w:t>estor dos recursos analisa o relatório e delibera sobre a realocação, podendo emitir resposta positiva, isto é, seguir com a alocação</w:t>
      </w:r>
      <w:r>
        <w:t xml:space="preserve"> sugerida</w:t>
      </w:r>
      <w:r w:rsidR="00124220">
        <w:t xml:space="preserve">, ou </w:t>
      </w:r>
      <w:r w:rsidR="005672D8">
        <w:t>negativa</w:t>
      </w:r>
      <w:r w:rsidR="00124220">
        <w:t>, hipótese em que não seguirá a sugestão e m</w:t>
      </w:r>
      <w:r w:rsidR="001162B9">
        <w:t>anterá</w:t>
      </w:r>
      <w:r w:rsidR="00124220">
        <w:t xml:space="preserve"> </w:t>
      </w:r>
      <w:r>
        <w:t xml:space="preserve">a </w:t>
      </w:r>
      <w:r w:rsidR="00B72781">
        <w:t>alocaç</w:t>
      </w:r>
      <w:r w:rsidR="006E4A9D">
        <w:t>ão</w:t>
      </w:r>
      <w:r>
        <w:t xml:space="preserve"> atual</w:t>
      </w:r>
      <w:r w:rsidR="00B72781">
        <w:t>;</w:t>
      </w:r>
    </w:p>
    <w:p w14:paraId="0A1B7E80" w14:textId="4F4CA27E" w:rsidR="00124220" w:rsidRDefault="00B72781" w:rsidP="00165181">
      <w:pPr>
        <w:numPr>
          <w:ilvl w:val="0"/>
          <w:numId w:val="42"/>
        </w:numPr>
        <w:spacing w:before="240" w:after="240"/>
      </w:pPr>
      <w:r>
        <w:t>Sendo a deliberação positiva,</w:t>
      </w:r>
      <w:r w:rsidR="000F0710">
        <w:t xml:space="preserve"> o Gestor</w:t>
      </w:r>
      <w:r>
        <w:t xml:space="preserve"> segue a sugestão e submete ao Comitê de Investimento;</w:t>
      </w:r>
    </w:p>
    <w:p w14:paraId="5BD09E4F" w14:textId="2062A196" w:rsidR="00B72781" w:rsidRDefault="00B72781" w:rsidP="00165181">
      <w:pPr>
        <w:numPr>
          <w:ilvl w:val="0"/>
          <w:numId w:val="42"/>
        </w:numPr>
        <w:spacing w:before="240" w:after="240"/>
      </w:pPr>
      <w:r>
        <w:t>O Comitê de Investimentos referenda a tomada de decisão do Gestor;</w:t>
      </w:r>
    </w:p>
    <w:p w14:paraId="6D56242C" w14:textId="77777777" w:rsidR="00F0267A" w:rsidRDefault="00B72781" w:rsidP="00165181">
      <w:pPr>
        <w:numPr>
          <w:ilvl w:val="0"/>
          <w:numId w:val="42"/>
        </w:numPr>
        <w:spacing w:before="240" w:after="240"/>
      </w:pPr>
      <w:r>
        <w:t>O Departamento de Investimentos recebe a realocação aprovada e providencia os documentos necessários;</w:t>
      </w:r>
    </w:p>
    <w:p w14:paraId="1CB6A645" w14:textId="3F71D627" w:rsidR="00B72781" w:rsidRDefault="00B72781" w:rsidP="00165181">
      <w:pPr>
        <w:numPr>
          <w:ilvl w:val="0"/>
          <w:numId w:val="42"/>
        </w:numPr>
        <w:spacing w:before="240" w:after="240"/>
      </w:pPr>
      <w:r>
        <w:t>Elabora Autorização de Aplicação e Resgate devidamente assinad</w:t>
      </w:r>
      <w:r w:rsidR="00987C57">
        <w:t>a</w:t>
      </w:r>
      <w:r w:rsidR="00550D89">
        <w:t>;</w:t>
      </w:r>
    </w:p>
    <w:p w14:paraId="26156954" w14:textId="2EA4BB12" w:rsidR="00550D89" w:rsidRDefault="00550D89" w:rsidP="00165181">
      <w:pPr>
        <w:numPr>
          <w:ilvl w:val="0"/>
          <w:numId w:val="42"/>
        </w:numPr>
        <w:spacing w:before="240" w:after="240"/>
      </w:pPr>
      <w:r>
        <w:t xml:space="preserve">Digitaliza a APR e encaminha para a Instituição Financeira promover </w:t>
      </w:r>
      <w:r w:rsidR="00C53D64">
        <w:t xml:space="preserve">a </w:t>
      </w:r>
      <w:r>
        <w:t>realocação;</w:t>
      </w:r>
    </w:p>
    <w:p w14:paraId="1E768134" w14:textId="7C2C0878" w:rsidR="00550D89" w:rsidRDefault="00550D89" w:rsidP="00165181">
      <w:pPr>
        <w:numPr>
          <w:ilvl w:val="0"/>
          <w:numId w:val="42"/>
        </w:numPr>
        <w:spacing w:before="240" w:after="240"/>
      </w:pPr>
      <w:r>
        <w:t xml:space="preserve">A Instituição Financeira recebe a APR e promove a realocação segundo ordem do </w:t>
      </w:r>
      <w:r w:rsidR="00290C4C">
        <w:t>IPREMA</w:t>
      </w:r>
      <w:r>
        <w:t>;</w:t>
      </w:r>
    </w:p>
    <w:p w14:paraId="43475885" w14:textId="63C396A8" w:rsidR="00550D89" w:rsidRDefault="00550D89" w:rsidP="00165181">
      <w:pPr>
        <w:numPr>
          <w:ilvl w:val="0"/>
          <w:numId w:val="42"/>
        </w:numPr>
        <w:spacing w:before="240" w:after="240"/>
      </w:pPr>
      <w:r>
        <w:t xml:space="preserve">A Instituição Financeira envia o comprovante da realocação para o </w:t>
      </w:r>
      <w:r w:rsidR="00290C4C">
        <w:t>IPREMA</w:t>
      </w:r>
      <w:r>
        <w:t>;</w:t>
      </w:r>
    </w:p>
    <w:p w14:paraId="231BBBBD" w14:textId="6C9D54C9" w:rsidR="00F0267A" w:rsidRDefault="00290C4C" w:rsidP="00F0267A">
      <w:pPr>
        <w:numPr>
          <w:ilvl w:val="0"/>
          <w:numId w:val="42"/>
        </w:numPr>
        <w:spacing w:before="240" w:after="240"/>
      </w:pPr>
      <w:r>
        <w:t>IPREMA</w:t>
      </w:r>
      <w:r w:rsidR="00550D89">
        <w:t xml:space="preserve"> recebe o comprovante e informa a todos os interessados a efetiva realocação, havendo em seguida o arquivamento interno do processo.</w:t>
      </w:r>
    </w:p>
    <w:p w14:paraId="79BF60A4" w14:textId="77777777" w:rsidR="00290C4C" w:rsidRPr="00F0267A" w:rsidRDefault="00290C4C" w:rsidP="00290C4C">
      <w:pPr>
        <w:spacing w:before="240" w:after="240"/>
        <w:ind w:left="720"/>
      </w:pPr>
    </w:p>
    <w:p w14:paraId="79FDF7D5" w14:textId="3FD22D9C" w:rsidR="003A794B" w:rsidRDefault="000A657F" w:rsidP="006849EC">
      <w:pPr>
        <w:pStyle w:val="Ttulo1"/>
      </w:pPr>
      <w:bookmarkStart w:id="9" w:name="_Toc227332368"/>
      <w:r w:rsidRPr="0067595D">
        <w:t>CONSIDERAÇÕES GERAIS</w:t>
      </w:r>
      <w:r>
        <w:t xml:space="preserve"> </w:t>
      </w:r>
      <w:r w:rsidR="001B032F">
        <w:t>DO</w:t>
      </w:r>
      <w:r>
        <w:t xml:space="preserve"> PROCESSO </w:t>
      </w:r>
      <w:r w:rsidR="001B032F">
        <w:t xml:space="preserve">DE </w:t>
      </w:r>
      <w:r w:rsidR="00CC77BB">
        <w:t>INVESTIMENTO</w:t>
      </w:r>
      <w:bookmarkEnd w:id="9"/>
    </w:p>
    <w:p w14:paraId="34314071" w14:textId="066125E0" w:rsidR="009C490A" w:rsidRDefault="003A794B" w:rsidP="005D13C2">
      <w:pPr>
        <w:spacing w:before="240" w:after="240"/>
      </w:pPr>
      <w:r>
        <w:t>A conclusão do processo deverá ficar disponível para acesso das partes interessadas, sendo que quando o servidor buscar informações deve-se pegar a ciência do mesmo no próprio processo</w:t>
      </w:r>
      <w:r w:rsidR="00E166F7">
        <w:t>, quando for o caso</w:t>
      </w:r>
      <w:r>
        <w:t xml:space="preserve">.  </w:t>
      </w:r>
    </w:p>
    <w:p w14:paraId="46406453" w14:textId="77777777" w:rsidR="00947ADD" w:rsidRDefault="00947ADD" w:rsidP="00EC0EB1"/>
    <w:p w14:paraId="2F55A257" w14:textId="77777777" w:rsidR="00024EC5" w:rsidRPr="002E118A" w:rsidRDefault="007458AC" w:rsidP="006849EC">
      <w:pPr>
        <w:pStyle w:val="Ttulo1"/>
      </w:pPr>
      <w:bookmarkStart w:id="10" w:name="_Toc227332369"/>
      <w:r>
        <w:t>CONSIDERAÇÕES FINAIS</w:t>
      </w:r>
      <w:bookmarkEnd w:id="10"/>
    </w:p>
    <w:p w14:paraId="0341A373" w14:textId="77777777" w:rsidR="007458AC" w:rsidRDefault="007458AC" w:rsidP="005D13C2">
      <w:pPr>
        <w:spacing w:before="240" w:after="240"/>
      </w:pPr>
      <w:r>
        <w:t xml:space="preserve">Ressaltamos que os manuais acima </w:t>
      </w:r>
      <w:r w:rsidR="00413407">
        <w:t>são</w:t>
      </w:r>
      <w:r>
        <w:t xml:space="preserve"> passíveis de alterações e adequações conforme as necessidades da administração. Deverão ser utilizados como ‘’roteiros’’ de trabalho e não exclusivamente como único meio de pesquisa, devendo todos os servidores envolvidos sempre observar demais legislações e regras a serem aplicadas ao caso. </w:t>
      </w:r>
    </w:p>
    <w:p w14:paraId="3857A5CE" w14:textId="349079C0" w:rsidR="009C490A" w:rsidRDefault="007458AC" w:rsidP="005D13C2">
      <w:pPr>
        <w:spacing w:before="240" w:after="240"/>
      </w:pPr>
      <w:r>
        <w:t>Também não podemos deixar de mencionar as normativas específicas do Tribunal de Contas</w:t>
      </w:r>
      <w:r w:rsidR="00A904B7">
        <w:t xml:space="preserve"> </w:t>
      </w:r>
      <w:r w:rsidR="00BF0205">
        <w:t>de</w:t>
      </w:r>
      <w:r w:rsidR="00A904B7">
        <w:t xml:space="preserve"> </w:t>
      </w:r>
      <w:r w:rsidR="009C490A">
        <w:t>Minas</w:t>
      </w:r>
      <w:r w:rsidR="00A904B7">
        <w:t xml:space="preserve"> G</w:t>
      </w:r>
      <w:r w:rsidR="009C490A">
        <w:t>erais</w:t>
      </w:r>
      <w:r>
        <w:t>.</w:t>
      </w:r>
      <w:r w:rsidR="009C490A">
        <w:t xml:space="preserve"> </w:t>
      </w:r>
      <w:r>
        <w:t>Observamos</w:t>
      </w:r>
      <w:r w:rsidR="009C490A">
        <w:t xml:space="preserve"> </w:t>
      </w:r>
      <w:r>
        <w:t>a importância de</w:t>
      </w:r>
      <w:r w:rsidR="009C490A">
        <w:t xml:space="preserve"> </w:t>
      </w:r>
      <w:r>
        <w:t>se</w:t>
      </w:r>
      <w:r w:rsidR="009C490A">
        <w:t xml:space="preserve"> </w:t>
      </w:r>
      <w:r w:rsidR="009B14C3">
        <w:t>considerar</w:t>
      </w:r>
      <w:r w:rsidR="009C490A">
        <w:t xml:space="preserve"> </w:t>
      </w:r>
      <w:r>
        <w:t>as</w:t>
      </w:r>
      <w:r w:rsidR="009C490A">
        <w:t xml:space="preserve"> j</w:t>
      </w:r>
      <w:r>
        <w:t>urisprudências</w:t>
      </w:r>
      <w:r w:rsidR="001A58D7">
        <w:t>,</w:t>
      </w:r>
      <w:r w:rsidR="009C490A">
        <w:t xml:space="preserve"> p</w:t>
      </w:r>
      <w:r w:rsidR="001A58D7">
        <w:t xml:space="preserve">ortarias, </w:t>
      </w:r>
      <w:r w:rsidR="009C490A">
        <w:t>i</w:t>
      </w:r>
      <w:r w:rsidR="001A58D7">
        <w:t>nstruções,</w:t>
      </w:r>
      <w:r>
        <w:t xml:space="preserve"> </w:t>
      </w:r>
      <w:r w:rsidR="009C490A">
        <w:t>p</w:t>
      </w:r>
      <w:r>
        <w:t>rejulgados</w:t>
      </w:r>
      <w:r w:rsidR="001A58D7">
        <w:t xml:space="preserve"> e demais decisões</w:t>
      </w:r>
      <w:r>
        <w:t xml:space="preserve"> da Corte de Contas</w:t>
      </w:r>
      <w:r w:rsidR="009B14C3">
        <w:t xml:space="preserve"> e outros órgão</w:t>
      </w:r>
      <w:r w:rsidR="009C490A">
        <w:t>s.</w:t>
      </w:r>
    </w:p>
    <w:sectPr w:rsidR="009C490A" w:rsidSect="003D53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55" w:right="1274" w:bottom="851" w:left="1418" w:header="720" w:footer="33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143E" w14:textId="77777777" w:rsidR="008776F2" w:rsidRDefault="008776F2" w:rsidP="00BA387D">
      <w:r>
        <w:separator/>
      </w:r>
    </w:p>
  </w:endnote>
  <w:endnote w:type="continuationSeparator" w:id="0">
    <w:p w14:paraId="3BAA2C01" w14:textId="77777777" w:rsidR="008776F2" w:rsidRDefault="008776F2" w:rsidP="00B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D679" w14:textId="77777777" w:rsidR="00B934BF" w:rsidRPr="00B934BF" w:rsidRDefault="00B934BF" w:rsidP="00B934BF">
    <w:pPr>
      <w:pStyle w:val="Rodap"/>
      <w:spacing w:before="0"/>
      <w:jc w:val="center"/>
      <w:rPr>
        <w:lang w:val="pt-BR"/>
      </w:rPr>
    </w:pPr>
    <w:r w:rsidRPr="00B934BF">
      <w:rPr>
        <w:lang w:val="pt-BR"/>
      </w:rPr>
      <w:t>Instituto de Previdência Municipal de Araxá – IPREMA </w:t>
    </w:r>
  </w:p>
  <w:p w14:paraId="1E20C137" w14:textId="77777777" w:rsidR="00B934BF" w:rsidRPr="00B934BF" w:rsidRDefault="00B934BF" w:rsidP="00B934BF">
    <w:pPr>
      <w:pStyle w:val="Rodap"/>
      <w:spacing w:before="0"/>
      <w:jc w:val="center"/>
      <w:rPr>
        <w:lang w:val="pt-BR"/>
      </w:rPr>
    </w:pPr>
    <w:r w:rsidRPr="00B934BF">
      <w:rPr>
        <w:lang w:val="pt-BR"/>
      </w:rPr>
      <w:t>Rua Dr. Franklin de Castro, 160, Centro, CEP 38183 – 120 </w:t>
    </w:r>
  </w:p>
  <w:p w14:paraId="238D79EF" w14:textId="6720FD38" w:rsidR="00B934BF" w:rsidRPr="00B934BF" w:rsidRDefault="00B934BF" w:rsidP="00B934BF">
    <w:pPr>
      <w:pStyle w:val="Rodap"/>
      <w:spacing w:before="0"/>
      <w:jc w:val="center"/>
      <w:rPr>
        <w:lang w:val="pt-BR"/>
      </w:rPr>
    </w:pPr>
    <w:r w:rsidRPr="00B934BF">
      <w:rPr>
        <w:lang w:val="pt-BR"/>
      </w:rPr>
      <w:t>(34) 3611-2602 / iprema@araxa.mg.gov.br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22E8" w14:textId="3641D580" w:rsidR="00B934BF" w:rsidRPr="00B934BF" w:rsidRDefault="00B934BF" w:rsidP="00B934BF">
    <w:pPr>
      <w:pStyle w:val="Rodap"/>
      <w:spacing w:before="0"/>
      <w:jc w:val="center"/>
      <w:rPr>
        <w:lang w:val="pt-BR"/>
      </w:rPr>
    </w:pPr>
    <w:r w:rsidRPr="00B934BF">
      <w:rPr>
        <w:lang w:val="pt-BR"/>
      </w:rPr>
      <w:t>Instituto de Previdência Municipal de Araxá – IPREMA </w:t>
    </w:r>
  </w:p>
  <w:p w14:paraId="6F3FE1A4" w14:textId="16A85C28" w:rsidR="00B934BF" w:rsidRPr="00B934BF" w:rsidRDefault="00B934BF" w:rsidP="00B934BF">
    <w:pPr>
      <w:pStyle w:val="Rodap"/>
      <w:spacing w:before="0"/>
      <w:jc w:val="center"/>
      <w:rPr>
        <w:lang w:val="pt-BR"/>
      </w:rPr>
    </w:pPr>
    <w:r w:rsidRPr="00B934BF">
      <w:rPr>
        <w:lang w:val="pt-BR"/>
      </w:rPr>
      <w:t>Rua Dr. Franklin de Castro, 160, Centro, CEP 38183 – 120 </w:t>
    </w:r>
  </w:p>
  <w:p w14:paraId="79E008C5" w14:textId="7DDDBCBC" w:rsidR="00B934BF" w:rsidRPr="00B934BF" w:rsidRDefault="00B934BF" w:rsidP="00B934BF">
    <w:pPr>
      <w:pStyle w:val="Rodap"/>
      <w:spacing w:before="0"/>
      <w:jc w:val="center"/>
      <w:rPr>
        <w:lang w:val="pt-BR"/>
      </w:rPr>
    </w:pPr>
    <w:r w:rsidRPr="00B934BF">
      <w:rPr>
        <w:lang w:val="pt-BR"/>
      </w:rPr>
      <w:t>(34) 3611-2602 / iprema@araxa.mg.gov.br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8D9C" w14:textId="77777777" w:rsidR="008776F2" w:rsidRDefault="008776F2" w:rsidP="00BA387D">
      <w:r>
        <w:separator/>
      </w:r>
    </w:p>
  </w:footnote>
  <w:footnote w:type="continuationSeparator" w:id="0">
    <w:p w14:paraId="4D143814" w14:textId="77777777" w:rsidR="008776F2" w:rsidRDefault="008776F2" w:rsidP="00BA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4085" w14:textId="6146A9CA" w:rsidR="00B934BF" w:rsidRDefault="00B934B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EC83EB" wp14:editId="02819136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1889760" cy="937260"/>
          <wp:effectExtent l="0" t="0" r="0" b="0"/>
          <wp:wrapNone/>
          <wp:docPr id="508222864" name="Imagem 1" descr="Imagem 2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2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875F" w14:textId="231A9489" w:rsidR="00B934BF" w:rsidRDefault="00B934BF" w:rsidP="00B934BF">
    <w:pPr>
      <w:pStyle w:val="Cabealho"/>
      <w:tabs>
        <w:tab w:val="clear" w:pos="4419"/>
        <w:tab w:val="clear" w:pos="8838"/>
        <w:tab w:val="center" w:pos="460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331F8E7" wp14:editId="09A9DF1C">
          <wp:simplePos x="0" y="0"/>
          <wp:positionH relativeFrom="column">
            <wp:posOffset>1865630</wp:posOffset>
          </wp:positionH>
          <wp:positionV relativeFrom="paragraph">
            <wp:posOffset>-198120</wp:posOffset>
          </wp:positionV>
          <wp:extent cx="1889760" cy="937260"/>
          <wp:effectExtent l="0" t="0" r="0" b="0"/>
          <wp:wrapNone/>
          <wp:docPr id="532815302" name="Imagem 1" descr="Imagem 2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2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8E6DD6"/>
    <w:multiLevelType w:val="hybridMultilevel"/>
    <w:tmpl w:val="D242CB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0935C6"/>
    <w:multiLevelType w:val="hybridMultilevel"/>
    <w:tmpl w:val="544094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936FD8"/>
    <w:multiLevelType w:val="hybridMultilevel"/>
    <w:tmpl w:val="29669C3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3D5823"/>
    <w:multiLevelType w:val="hybridMultilevel"/>
    <w:tmpl w:val="EB72FD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F5EC3"/>
    <w:multiLevelType w:val="hybridMultilevel"/>
    <w:tmpl w:val="722A3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4D0AC2"/>
    <w:multiLevelType w:val="hybridMultilevel"/>
    <w:tmpl w:val="CE6C876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27A0E"/>
    <w:multiLevelType w:val="hybridMultilevel"/>
    <w:tmpl w:val="87122E9E"/>
    <w:lvl w:ilvl="0" w:tplc="BEB6C1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44454"/>
    <w:multiLevelType w:val="hybridMultilevel"/>
    <w:tmpl w:val="2B9EA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15C6F"/>
    <w:multiLevelType w:val="hybridMultilevel"/>
    <w:tmpl w:val="4BBE32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B6EBA"/>
    <w:multiLevelType w:val="hybridMultilevel"/>
    <w:tmpl w:val="1A94E0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162E6"/>
    <w:multiLevelType w:val="hybridMultilevel"/>
    <w:tmpl w:val="9E40AD9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09B5"/>
    <w:multiLevelType w:val="hybridMultilevel"/>
    <w:tmpl w:val="4510C83A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C2BC9"/>
    <w:multiLevelType w:val="hybridMultilevel"/>
    <w:tmpl w:val="F4FAA068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31FF5"/>
    <w:multiLevelType w:val="hybridMultilevel"/>
    <w:tmpl w:val="7F509C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D0059"/>
    <w:multiLevelType w:val="hybridMultilevel"/>
    <w:tmpl w:val="29669C3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040E6"/>
    <w:multiLevelType w:val="multilevel"/>
    <w:tmpl w:val="8E249E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6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FA2D31"/>
    <w:multiLevelType w:val="hybridMultilevel"/>
    <w:tmpl w:val="D8389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27C79"/>
    <w:multiLevelType w:val="hybridMultilevel"/>
    <w:tmpl w:val="DDCEABB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87640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C6969"/>
    <w:multiLevelType w:val="hybridMultilevel"/>
    <w:tmpl w:val="438A7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C5F14"/>
    <w:multiLevelType w:val="hybridMultilevel"/>
    <w:tmpl w:val="3CAE289A"/>
    <w:lvl w:ilvl="0" w:tplc="D2604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B089C"/>
    <w:multiLevelType w:val="hybridMultilevel"/>
    <w:tmpl w:val="FF32E4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07756"/>
    <w:multiLevelType w:val="hybridMultilevel"/>
    <w:tmpl w:val="1A94E0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26B44"/>
    <w:multiLevelType w:val="hybridMultilevel"/>
    <w:tmpl w:val="97DC67C2"/>
    <w:lvl w:ilvl="0" w:tplc="04160017">
      <w:start w:val="1"/>
      <w:numFmt w:val="lowerLetter"/>
      <w:lvlText w:val="%1)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 w15:restartNumberingAfterBreak="0">
    <w:nsid w:val="59346B88"/>
    <w:multiLevelType w:val="hybridMultilevel"/>
    <w:tmpl w:val="4008CF2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41846"/>
    <w:multiLevelType w:val="hybridMultilevel"/>
    <w:tmpl w:val="D39A64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54F93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F3F4D"/>
    <w:multiLevelType w:val="hybridMultilevel"/>
    <w:tmpl w:val="6D04CA5C"/>
    <w:lvl w:ilvl="0" w:tplc="BEB6C1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3220"/>
    <w:multiLevelType w:val="hybridMultilevel"/>
    <w:tmpl w:val="4746C9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7DA9"/>
    <w:multiLevelType w:val="hybridMultilevel"/>
    <w:tmpl w:val="302672B0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C35F1"/>
    <w:multiLevelType w:val="hybridMultilevel"/>
    <w:tmpl w:val="36887F72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D4027"/>
    <w:multiLevelType w:val="hybridMultilevel"/>
    <w:tmpl w:val="B0D6961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A7481"/>
    <w:multiLevelType w:val="hybridMultilevel"/>
    <w:tmpl w:val="8F30BEA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24F8A"/>
    <w:multiLevelType w:val="hybridMultilevel"/>
    <w:tmpl w:val="3D068C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260741">
    <w:abstractNumId w:val="26"/>
  </w:num>
  <w:num w:numId="2" w16cid:durableId="1357584309">
    <w:abstractNumId w:val="33"/>
  </w:num>
  <w:num w:numId="3" w16cid:durableId="403917053">
    <w:abstractNumId w:val="11"/>
  </w:num>
  <w:num w:numId="4" w16cid:durableId="1860044019">
    <w:abstractNumId w:val="27"/>
  </w:num>
  <w:num w:numId="5" w16cid:durableId="1571698789">
    <w:abstractNumId w:val="12"/>
  </w:num>
  <w:num w:numId="6" w16cid:durableId="2117746020">
    <w:abstractNumId w:val="15"/>
  </w:num>
  <w:num w:numId="7" w16cid:durableId="1876501411">
    <w:abstractNumId w:val="24"/>
  </w:num>
  <w:num w:numId="8" w16cid:durableId="1552305139">
    <w:abstractNumId w:val="29"/>
  </w:num>
  <w:num w:numId="9" w16cid:durableId="1172062447">
    <w:abstractNumId w:val="38"/>
  </w:num>
  <w:num w:numId="10" w16cid:durableId="1474367777">
    <w:abstractNumId w:val="18"/>
  </w:num>
  <w:num w:numId="11" w16cid:durableId="1554001605">
    <w:abstractNumId w:val="16"/>
  </w:num>
  <w:num w:numId="12" w16cid:durableId="1378552443">
    <w:abstractNumId w:val="37"/>
  </w:num>
  <w:num w:numId="13" w16cid:durableId="939994234">
    <w:abstractNumId w:val="34"/>
  </w:num>
  <w:num w:numId="14" w16cid:durableId="308947042">
    <w:abstractNumId w:val="28"/>
  </w:num>
  <w:num w:numId="15" w16cid:durableId="1934781351">
    <w:abstractNumId w:val="20"/>
  </w:num>
  <w:num w:numId="16" w16cid:durableId="39132775">
    <w:abstractNumId w:val="32"/>
  </w:num>
  <w:num w:numId="17" w16cid:durableId="573131237">
    <w:abstractNumId w:val="36"/>
  </w:num>
  <w:num w:numId="18" w16cid:durableId="1697463403">
    <w:abstractNumId w:val="23"/>
  </w:num>
  <w:num w:numId="19" w16cid:durableId="5326144">
    <w:abstractNumId w:val="22"/>
  </w:num>
  <w:num w:numId="20" w16cid:durableId="796028708">
    <w:abstractNumId w:val="39"/>
  </w:num>
  <w:num w:numId="21" w16cid:durableId="653342239">
    <w:abstractNumId w:val="17"/>
  </w:num>
  <w:num w:numId="22" w16cid:durableId="2013874655">
    <w:abstractNumId w:val="26"/>
  </w:num>
  <w:num w:numId="23" w16cid:durableId="2104688906">
    <w:abstractNumId w:val="26"/>
  </w:num>
  <w:num w:numId="24" w16cid:durableId="1575359388">
    <w:abstractNumId w:val="41"/>
  </w:num>
  <w:num w:numId="25" w16cid:durableId="588395862">
    <w:abstractNumId w:val="26"/>
  </w:num>
  <w:num w:numId="26" w16cid:durableId="1955214825">
    <w:abstractNumId w:val="40"/>
  </w:num>
  <w:num w:numId="27" w16cid:durableId="1020280264">
    <w:abstractNumId w:val="26"/>
  </w:num>
  <w:num w:numId="28" w16cid:durableId="1111120780">
    <w:abstractNumId w:val="14"/>
  </w:num>
  <w:num w:numId="29" w16cid:durableId="1846357925">
    <w:abstractNumId w:val="26"/>
  </w:num>
  <w:num w:numId="30" w16cid:durableId="749615925">
    <w:abstractNumId w:val="26"/>
  </w:num>
  <w:num w:numId="31" w16cid:durableId="754401916">
    <w:abstractNumId w:val="26"/>
  </w:num>
  <w:num w:numId="32" w16cid:durableId="1724715040">
    <w:abstractNumId w:val="19"/>
  </w:num>
  <w:num w:numId="33" w16cid:durableId="1739013944">
    <w:abstractNumId w:val="35"/>
  </w:num>
  <w:num w:numId="34" w16cid:durableId="1292444953">
    <w:abstractNumId w:val="30"/>
  </w:num>
  <w:num w:numId="35" w16cid:durableId="926305243">
    <w:abstractNumId w:val="25"/>
  </w:num>
  <w:num w:numId="36" w16cid:durableId="773792968">
    <w:abstractNumId w:val="26"/>
  </w:num>
  <w:num w:numId="37" w16cid:durableId="1035352310">
    <w:abstractNumId w:val="13"/>
  </w:num>
  <w:num w:numId="38" w16cid:durableId="1834029002">
    <w:abstractNumId w:val="21"/>
  </w:num>
  <w:num w:numId="39" w16cid:durableId="77409928">
    <w:abstractNumId w:val="26"/>
  </w:num>
  <w:num w:numId="40" w16cid:durableId="77675347">
    <w:abstractNumId w:val="42"/>
  </w:num>
  <w:num w:numId="41" w16cid:durableId="890580226">
    <w:abstractNumId w:val="26"/>
  </w:num>
  <w:num w:numId="42" w16cid:durableId="143192845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A2"/>
    <w:rsid w:val="00006D65"/>
    <w:rsid w:val="00010285"/>
    <w:rsid w:val="00015C95"/>
    <w:rsid w:val="000174CB"/>
    <w:rsid w:val="00017FB7"/>
    <w:rsid w:val="00021B50"/>
    <w:rsid w:val="00022F94"/>
    <w:rsid w:val="00024EC5"/>
    <w:rsid w:val="000260A8"/>
    <w:rsid w:val="00026531"/>
    <w:rsid w:val="00027AB4"/>
    <w:rsid w:val="0003104E"/>
    <w:rsid w:val="00032F80"/>
    <w:rsid w:val="000358A8"/>
    <w:rsid w:val="00040B5D"/>
    <w:rsid w:val="00042C36"/>
    <w:rsid w:val="00050B8A"/>
    <w:rsid w:val="000534EA"/>
    <w:rsid w:val="00061202"/>
    <w:rsid w:val="00065926"/>
    <w:rsid w:val="00067F45"/>
    <w:rsid w:val="00083D60"/>
    <w:rsid w:val="0008407D"/>
    <w:rsid w:val="0008761C"/>
    <w:rsid w:val="000920F8"/>
    <w:rsid w:val="00094A39"/>
    <w:rsid w:val="000954E5"/>
    <w:rsid w:val="000A0225"/>
    <w:rsid w:val="000A4AF3"/>
    <w:rsid w:val="000A51AC"/>
    <w:rsid w:val="000A541E"/>
    <w:rsid w:val="000A657F"/>
    <w:rsid w:val="000A72DA"/>
    <w:rsid w:val="000B0C4D"/>
    <w:rsid w:val="000B3401"/>
    <w:rsid w:val="000C77B3"/>
    <w:rsid w:val="000C785F"/>
    <w:rsid w:val="000D0C51"/>
    <w:rsid w:val="000D2987"/>
    <w:rsid w:val="000D52C3"/>
    <w:rsid w:val="000D5CA6"/>
    <w:rsid w:val="000E3050"/>
    <w:rsid w:val="000E4F0E"/>
    <w:rsid w:val="000E7414"/>
    <w:rsid w:val="000F0710"/>
    <w:rsid w:val="000F3DED"/>
    <w:rsid w:val="000F3E4F"/>
    <w:rsid w:val="000F781F"/>
    <w:rsid w:val="00101A57"/>
    <w:rsid w:val="00105FAD"/>
    <w:rsid w:val="001112E1"/>
    <w:rsid w:val="001118E4"/>
    <w:rsid w:val="0011434B"/>
    <w:rsid w:val="001143B4"/>
    <w:rsid w:val="001162B9"/>
    <w:rsid w:val="001215C2"/>
    <w:rsid w:val="0012171E"/>
    <w:rsid w:val="00124220"/>
    <w:rsid w:val="0012720C"/>
    <w:rsid w:val="00127AE2"/>
    <w:rsid w:val="00130439"/>
    <w:rsid w:val="00131696"/>
    <w:rsid w:val="00135819"/>
    <w:rsid w:val="00136068"/>
    <w:rsid w:val="00150B64"/>
    <w:rsid w:val="00153569"/>
    <w:rsid w:val="001536ED"/>
    <w:rsid w:val="001548B5"/>
    <w:rsid w:val="0015509A"/>
    <w:rsid w:val="001573FA"/>
    <w:rsid w:val="001605FE"/>
    <w:rsid w:val="00165181"/>
    <w:rsid w:val="00166EB9"/>
    <w:rsid w:val="00191A5D"/>
    <w:rsid w:val="0019510E"/>
    <w:rsid w:val="001A15A6"/>
    <w:rsid w:val="001A1BEB"/>
    <w:rsid w:val="001A58D7"/>
    <w:rsid w:val="001A7313"/>
    <w:rsid w:val="001B032F"/>
    <w:rsid w:val="001B2F1C"/>
    <w:rsid w:val="001B3220"/>
    <w:rsid w:val="001B4CCC"/>
    <w:rsid w:val="001C2489"/>
    <w:rsid w:val="001C3A38"/>
    <w:rsid w:val="001C4023"/>
    <w:rsid w:val="001C6BD6"/>
    <w:rsid w:val="001D0732"/>
    <w:rsid w:val="001D3470"/>
    <w:rsid w:val="001D525D"/>
    <w:rsid w:val="001D599A"/>
    <w:rsid w:val="001E0BA4"/>
    <w:rsid w:val="001E285A"/>
    <w:rsid w:val="001E48AB"/>
    <w:rsid w:val="001E4932"/>
    <w:rsid w:val="001E7DC8"/>
    <w:rsid w:val="001F2A00"/>
    <w:rsid w:val="001F2CB1"/>
    <w:rsid w:val="001F428F"/>
    <w:rsid w:val="001F7609"/>
    <w:rsid w:val="002015D3"/>
    <w:rsid w:val="00201F23"/>
    <w:rsid w:val="002025AB"/>
    <w:rsid w:val="00211F8A"/>
    <w:rsid w:val="00216B39"/>
    <w:rsid w:val="002177C9"/>
    <w:rsid w:val="002225F6"/>
    <w:rsid w:val="002227B0"/>
    <w:rsid w:val="00226C23"/>
    <w:rsid w:val="00227E07"/>
    <w:rsid w:val="00230955"/>
    <w:rsid w:val="002334F2"/>
    <w:rsid w:val="00234907"/>
    <w:rsid w:val="002508C5"/>
    <w:rsid w:val="00256AD7"/>
    <w:rsid w:val="0025744A"/>
    <w:rsid w:val="002659A7"/>
    <w:rsid w:val="00266115"/>
    <w:rsid w:val="002729A1"/>
    <w:rsid w:val="00274AE7"/>
    <w:rsid w:val="0027588B"/>
    <w:rsid w:val="002800C8"/>
    <w:rsid w:val="00280536"/>
    <w:rsid w:val="00280783"/>
    <w:rsid w:val="00285CD8"/>
    <w:rsid w:val="002863EB"/>
    <w:rsid w:val="00290C4C"/>
    <w:rsid w:val="002913AB"/>
    <w:rsid w:val="00291DBE"/>
    <w:rsid w:val="0029452A"/>
    <w:rsid w:val="002A141F"/>
    <w:rsid w:val="002A1B61"/>
    <w:rsid w:val="002A3B9F"/>
    <w:rsid w:val="002A6099"/>
    <w:rsid w:val="002A627A"/>
    <w:rsid w:val="002A7A5B"/>
    <w:rsid w:val="002B069C"/>
    <w:rsid w:val="002B7A12"/>
    <w:rsid w:val="002B7E51"/>
    <w:rsid w:val="002C1DB5"/>
    <w:rsid w:val="002C26FD"/>
    <w:rsid w:val="002C4DBB"/>
    <w:rsid w:val="002C5F36"/>
    <w:rsid w:val="002C6723"/>
    <w:rsid w:val="002D1E09"/>
    <w:rsid w:val="002E118A"/>
    <w:rsid w:val="002E14EF"/>
    <w:rsid w:val="002E3B32"/>
    <w:rsid w:val="002E7CCB"/>
    <w:rsid w:val="002F152B"/>
    <w:rsid w:val="002F17B3"/>
    <w:rsid w:val="002F6A2A"/>
    <w:rsid w:val="002F6FCD"/>
    <w:rsid w:val="00307BB5"/>
    <w:rsid w:val="003213D2"/>
    <w:rsid w:val="00321CD3"/>
    <w:rsid w:val="003229D4"/>
    <w:rsid w:val="0032675B"/>
    <w:rsid w:val="00327691"/>
    <w:rsid w:val="00330832"/>
    <w:rsid w:val="0033468D"/>
    <w:rsid w:val="00336805"/>
    <w:rsid w:val="00347466"/>
    <w:rsid w:val="00350770"/>
    <w:rsid w:val="003547EA"/>
    <w:rsid w:val="0035757F"/>
    <w:rsid w:val="00361F23"/>
    <w:rsid w:val="0036252F"/>
    <w:rsid w:val="0036368A"/>
    <w:rsid w:val="00366BE8"/>
    <w:rsid w:val="003718EB"/>
    <w:rsid w:val="003746F6"/>
    <w:rsid w:val="00374C8E"/>
    <w:rsid w:val="0037627E"/>
    <w:rsid w:val="00383846"/>
    <w:rsid w:val="0038583F"/>
    <w:rsid w:val="0038600A"/>
    <w:rsid w:val="00386AF6"/>
    <w:rsid w:val="00387152"/>
    <w:rsid w:val="00390492"/>
    <w:rsid w:val="00390C47"/>
    <w:rsid w:val="003A1DAA"/>
    <w:rsid w:val="003A21C3"/>
    <w:rsid w:val="003A6634"/>
    <w:rsid w:val="003A773A"/>
    <w:rsid w:val="003A794B"/>
    <w:rsid w:val="003A7E47"/>
    <w:rsid w:val="003B129B"/>
    <w:rsid w:val="003B1A54"/>
    <w:rsid w:val="003B1D92"/>
    <w:rsid w:val="003B265D"/>
    <w:rsid w:val="003B4858"/>
    <w:rsid w:val="003B5122"/>
    <w:rsid w:val="003C05BE"/>
    <w:rsid w:val="003C2AEA"/>
    <w:rsid w:val="003C4244"/>
    <w:rsid w:val="003C4848"/>
    <w:rsid w:val="003C4CC7"/>
    <w:rsid w:val="003C5B5D"/>
    <w:rsid w:val="003D0091"/>
    <w:rsid w:val="003D533A"/>
    <w:rsid w:val="003E096B"/>
    <w:rsid w:val="003E0ABC"/>
    <w:rsid w:val="003F25FF"/>
    <w:rsid w:val="003F4319"/>
    <w:rsid w:val="00406064"/>
    <w:rsid w:val="00413407"/>
    <w:rsid w:val="0041611B"/>
    <w:rsid w:val="00421DF2"/>
    <w:rsid w:val="00424BC8"/>
    <w:rsid w:val="004301BD"/>
    <w:rsid w:val="0043077E"/>
    <w:rsid w:val="00436F00"/>
    <w:rsid w:val="00443580"/>
    <w:rsid w:val="004515FA"/>
    <w:rsid w:val="00456009"/>
    <w:rsid w:val="00456DF0"/>
    <w:rsid w:val="0045706A"/>
    <w:rsid w:val="00461CD6"/>
    <w:rsid w:val="00467DD2"/>
    <w:rsid w:val="004717FE"/>
    <w:rsid w:val="0047337B"/>
    <w:rsid w:val="0047521B"/>
    <w:rsid w:val="00476DAF"/>
    <w:rsid w:val="00477E2E"/>
    <w:rsid w:val="00480866"/>
    <w:rsid w:val="004907F2"/>
    <w:rsid w:val="004A04E3"/>
    <w:rsid w:val="004A2471"/>
    <w:rsid w:val="004A5FE8"/>
    <w:rsid w:val="004B1C9E"/>
    <w:rsid w:val="004B2AC8"/>
    <w:rsid w:val="004C2F1F"/>
    <w:rsid w:val="004D12F3"/>
    <w:rsid w:val="004D1D71"/>
    <w:rsid w:val="004D50C6"/>
    <w:rsid w:val="004D6DAB"/>
    <w:rsid w:val="004E6058"/>
    <w:rsid w:val="004F0DE6"/>
    <w:rsid w:val="0050331A"/>
    <w:rsid w:val="00507C24"/>
    <w:rsid w:val="005171C9"/>
    <w:rsid w:val="00521BE5"/>
    <w:rsid w:val="00522FF0"/>
    <w:rsid w:val="00523789"/>
    <w:rsid w:val="00524163"/>
    <w:rsid w:val="0052627E"/>
    <w:rsid w:val="00527BD6"/>
    <w:rsid w:val="005303F3"/>
    <w:rsid w:val="00531169"/>
    <w:rsid w:val="005372F1"/>
    <w:rsid w:val="00537C62"/>
    <w:rsid w:val="005407E8"/>
    <w:rsid w:val="00540B2A"/>
    <w:rsid w:val="005442B2"/>
    <w:rsid w:val="00546E87"/>
    <w:rsid w:val="00550D89"/>
    <w:rsid w:val="0055204B"/>
    <w:rsid w:val="00553CD0"/>
    <w:rsid w:val="0055613E"/>
    <w:rsid w:val="005655C8"/>
    <w:rsid w:val="005672D8"/>
    <w:rsid w:val="005708CB"/>
    <w:rsid w:val="00570AA3"/>
    <w:rsid w:val="005720F5"/>
    <w:rsid w:val="0057263C"/>
    <w:rsid w:val="00572D81"/>
    <w:rsid w:val="00574DD0"/>
    <w:rsid w:val="005752C6"/>
    <w:rsid w:val="00581BCB"/>
    <w:rsid w:val="0058306F"/>
    <w:rsid w:val="0059277E"/>
    <w:rsid w:val="00593965"/>
    <w:rsid w:val="0059403B"/>
    <w:rsid w:val="00594694"/>
    <w:rsid w:val="00596A06"/>
    <w:rsid w:val="00597660"/>
    <w:rsid w:val="005A0316"/>
    <w:rsid w:val="005A18F1"/>
    <w:rsid w:val="005A5ADD"/>
    <w:rsid w:val="005A67D7"/>
    <w:rsid w:val="005B11C8"/>
    <w:rsid w:val="005B2880"/>
    <w:rsid w:val="005B3A76"/>
    <w:rsid w:val="005C2B02"/>
    <w:rsid w:val="005C4A5D"/>
    <w:rsid w:val="005D13C2"/>
    <w:rsid w:val="005D51A3"/>
    <w:rsid w:val="005D6CF3"/>
    <w:rsid w:val="005D7B42"/>
    <w:rsid w:val="005E140D"/>
    <w:rsid w:val="005E255C"/>
    <w:rsid w:val="005E407F"/>
    <w:rsid w:val="005E4235"/>
    <w:rsid w:val="005F2020"/>
    <w:rsid w:val="005F2CF2"/>
    <w:rsid w:val="005F6BF2"/>
    <w:rsid w:val="005F7D41"/>
    <w:rsid w:val="00600745"/>
    <w:rsid w:val="006017EB"/>
    <w:rsid w:val="00602BBA"/>
    <w:rsid w:val="00602C9A"/>
    <w:rsid w:val="00604F35"/>
    <w:rsid w:val="00611D4C"/>
    <w:rsid w:val="00612B3E"/>
    <w:rsid w:val="00620334"/>
    <w:rsid w:val="0062089A"/>
    <w:rsid w:val="006209AD"/>
    <w:rsid w:val="00623718"/>
    <w:rsid w:val="0062526D"/>
    <w:rsid w:val="00633462"/>
    <w:rsid w:val="00634ACA"/>
    <w:rsid w:val="006360EC"/>
    <w:rsid w:val="00640629"/>
    <w:rsid w:val="006424DD"/>
    <w:rsid w:val="00661B84"/>
    <w:rsid w:val="006623DF"/>
    <w:rsid w:val="00675886"/>
    <w:rsid w:val="0067595D"/>
    <w:rsid w:val="00680398"/>
    <w:rsid w:val="00683168"/>
    <w:rsid w:val="00683201"/>
    <w:rsid w:val="006849EC"/>
    <w:rsid w:val="00684B2A"/>
    <w:rsid w:val="00685082"/>
    <w:rsid w:val="00690E63"/>
    <w:rsid w:val="00691134"/>
    <w:rsid w:val="006A29AF"/>
    <w:rsid w:val="006A4FA9"/>
    <w:rsid w:val="006A5768"/>
    <w:rsid w:val="006A6BE2"/>
    <w:rsid w:val="006A7117"/>
    <w:rsid w:val="006B097D"/>
    <w:rsid w:val="006B17EA"/>
    <w:rsid w:val="006B717C"/>
    <w:rsid w:val="006C02CB"/>
    <w:rsid w:val="006C08F4"/>
    <w:rsid w:val="006C1664"/>
    <w:rsid w:val="006C3CE4"/>
    <w:rsid w:val="006C5009"/>
    <w:rsid w:val="006C5682"/>
    <w:rsid w:val="006C6024"/>
    <w:rsid w:val="006C730C"/>
    <w:rsid w:val="006D1D01"/>
    <w:rsid w:val="006D5040"/>
    <w:rsid w:val="006E1CD2"/>
    <w:rsid w:val="006E3DA9"/>
    <w:rsid w:val="006E48FE"/>
    <w:rsid w:val="006E4A9D"/>
    <w:rsid w:val="006E59C5"/>
    <w:rsid w:val="006E6227"/>
    <w:rsid w:val="006E646E"/>
    <w:rsid w:val="006E6F3B"/>
    <w:rsid w:val="006E7277"/>
    <w:rsid w:val="006E7969"/>
    <w:rsid w:val="006F1694"/>
    <w:rsid w:val="006F1F76"/>
    <w:rsid w:val="006F20E2"/>
    <w:rsid w:val="006F3EE0"/>
    <w:rsid w:val="006F5E2D"/>
    <w:rsid w:val="006F6822"/>
    <w:rsid w:val="006F70BE"/>
    <w:rsid w:val="00701E3F"/>
    <w:rsid w:val="007021E2"/>
    <w:rsid w:val="00704EB6"/>
    <w:rsid w:val="00705582"/>
    <w:rsid w:val="00705710"/>
    <w:rsid w:val="00707E86"/>
    <w:rsid w:val="00711666"/>
    <w:rsid w:val="00720C85"/>
    <w:rsid w:val="00723D94"/>
    <w:rsid w:val="00727E46"/>
    <w:rsid w:val="00732E05"/>
    <w:rsid w:val="007458AC"/>
    <w:rsid w:val="00745A77"/>
    <w:rsid w:val="0075143A"/>
    <w:rsid w:val="00753A54"/>
    <w:rsid w:val="007541DF"/>
    <w:rsid w:val="00760EB6"/>
    <w:rsid w:val="007629F7"/>
    <w:rsid w:val="007655FC"/>
    <w:rsid w:val="00767B64"/>
    <w:rsid w:val="00771D9B"/>
    <w:rsid w:val="007725E9"/>
    <w:rsid w:val="007749CB"/>
    <w:rsid w:val="00775427"/>
    <w:rsid w:val="00780E2D"/>
    <w:rsid w:val="0078347D"/>
    <w:rsid w:val="007834AD"/>
    <w:rsid w:val="00785127"/>
    <w:rsid w:val="007860E3"/>
    <w:rsid w:val="00791FED"/>
    <w:rsid w:val="007958B2"/>
    <w:rsid w:val="00797683"/>
    <w:rsid w:val="007A1DCC"/>
    <w:rsid w:val="007A34B9"/>
    <w:rsid w:val="007A45C8"/>
    <w:rsid w:val="007B02B8"/>
    <w:rsid w:val="007B47CB"/>
    <w:rsid w:val="007B6391"/>
    <w:rsid w:val="007C1471"/>
    <w:rsid w:val="007C14F9"/>
    <w:rsid w:val="007C2C32"/>
    <w:rsid w:val="007C3055"/>
    <w:rsid w:val="007C608E"/>
    <w:rsid w:val="007C7B2E"/>
    <w:rsid w:val="007D1B09"/>
    <w:rsid w:val="007D435C"/>
    <w:rsid w:val="007E071F"/>
    <w:rsid w:val="007E07DC"/>
    <w:rsid w:val="007E0E56"/>
    <w:rsid w:val="007E3CD9"/>
    <w:rsid w:val="007E4E93"/>
    <w:rsid w:val="007E63EB"/>
    <w:rsid w:val="007F15FA"/>
    <w:rsid w:val="007F2915"/>
    <w:rsid w:val="007F2C46"/>
    <w:rsid w:val="007F5D8D"/>
    <w:rsid w:val="007F5EBA"/>
    <w:rsid w:val="00800DBA"/>
    <w:rsid w:val="00800E05"/>
    <w:rsid w:val="00802177"/>
    <w:rsid w:val="00805361"/>
    <w:rsid w:val="00805CB4"/>
    <w:rsid w:val="00810A12"/>
    <w:rsid w:val="008144A3"/>
    <w:rsid w:val="00814B5A"/>
    <w:rsid w:val="00814E37"/>
    <w:rsid w:val="00820374"/>
    <w:rsid w:val="00820ECC"/>
    <w:rsid w:val="00826892"/>
    <w:rsid w:val="00831A8A"/>
    <w:rsid w:val="00831B61"/>
    <w:rsid w:val="00832CC9"/>
    <w:rsid w:val="00834B74"/>
    <w:rsid w:val="00836246"/>
    <w:rsid w:val="00840F53"/>
    <w:rsid w:val="0084338F"/>
    <w:rsid w:val="0084527D"/>
    <w:rsid w:val="00846D9F"/>
    <w:rsid w:val="008477E8"/>
    <w:rsid w:val="00850461"/>
    <w:rsid w:val="00850D75"/>
    <w:rsid w:val="00860678"/>
    <w:rsid w:val="00860D1D"/>
    <w:rsid w:val="008623D0"/>
    <w:rsid w:val="00871D11"/>
    <w:rsid w:val="008776F2"/>
    <w:rsid w:val="00881D73"/>
    <w:rsid w:val="00882FC4"/>
    <w:rsid w:val="00895746"/>
    <w:rsid w:val="008959CA"/>
    <w:rsid w:val="008A1F52"/>
    <w:rsid w:val="008A30F1"/>
    <w:rsid w:val="008A4DA5"/>
    <w:rsid w:val="008A6B8F"/>
    <w:rsid w:val="008B3E51"/>
    <w:rsid w:val="008B4AA0"/>
    <w:rsid w:val="008B4D8B"/>
    <w:rsid w:val="008B73CE"/>
    <w:rsid w:val="008C4AE1"/>
    <w:rsid w:val="008C5C06"/>
    <w:rsid w:val="008C6091"/>
    <w:rsid w:val="008D7CC6"/>
    <w:rsid w:val="008E0AB4"/>
    <w:rsid w:val="008E47AF"/>
    <w:rsid w:val="008E5C5B"/>
    <w:rsid w:val="008E5C7C"/>
    <w:rsid w:val="008E7AC2"/>
    <w:rsid w:val="008F6FCE"/>
    <w:rsid w:val="008F7EC6"/>
    <w:rsid w:val="009040D3"/>
    <w:rsid w:val="009067A6"/>
    <w:rsid w:val="00907290"/>
    <w:rsid w:val="009124D4"/>
    <w:rsid w:val="00915E5D"/>
    <w:rsid w:val="0092213F"/>
    <w:rsid w:val="0092251D"/>
    <w:rsid w:val="00922A5D"/>
    <w:rsid w:val="009248B0"/>
    <w:rsid w:val="009256FA"/>
    <w:rsid w:val="00930D01"/>
    <w:rsid w:val="009311A2"/>
    <w:rsid w:val="00931652"/>
    <w:rsid w:val="00932552"/>
    <w:rsid w:val="00932D62"/>
    <w:rsid w:val="0093575B"/>
    <w:rsid w:val="00940495"/>
    <w:rsid w:val="009425FE"/>
    <w:rsid w:val="009464DC"/>
    <w:rsid w:val="00947ADD"/>
    <w:rsid w:val="00953D79"/>
    <w:rsid w:val="00956F25"/>
    <w:rsid w:val="00957DAC"/>
    <w:rsid w:val="00960B32"/>
    <w:rsid w:val="009623EE"/>
    <w:rsid w:val="00963655"/>
    <w:rsid w:val="00965049"/>
    <w:rsid w:val="0097522C"/>
    <w:rsid w:val="009761E6"/>
    <w:rsid w:val="00980ACB"/>
    <w:rsid w:val="00985FF8"/>
    <w:rsid w:val="00987375"/>
    <w:rsid w:val="00987C57"/>
    <w:rsid w:val="00991102"/>
    <w:rsid w:val="00992ED2"/>
    <w:rsid w:val="00994A54"/>
    <w:rsid w:val="00995BE4"/>
    <w:rsid w:val="009A0FD2"/>
    <w:rsid w:val="009A33C8"/>
    <w:rsid w:val="009A3AA2"/>
    <w:rsid w:val="009A4BDB"/>
    <w:rsid w:val="009B14C3"/>
    <w:rsid w:val="009B32BA"/>
    <w:rsid w:val="009B6BCF"/>
    <w:rsid w:val="009C1B47"/>
    <w:rsid w:val="009C490A"/>
    <w:rsid w:val="009C4FE8"/>
    <w:rsid w:val="009C57CC"/>
    <w:rsid w:val="009C69BF"/>
    <w:rsid w:val="009C6F2A"/>
    <w:rsid w:val="009D3906"/>
    <w:rsid w:val="009E007C"/>
    <w:rsid w:val="009E0287"/>
    <w:rsid w:val="009E0840"/>
    <w:rsid w:val="009E1C62"/>
    <w:rsid w:val="009E42DF"/>
    <w:rsid w:val="009E52E9"/>
    <w:rsid w:val="009E7F25"/>
    <w:rsid w:val="009F2C69"/>
    <w:rsid w:val="009F2F3D"/>
    <w:rsid w:val="009F4DA2"/>
    <w:rsid w:val="009F7F26"/>
    <w:rsid w:val="00A07DDE"/>
    <w:rsid w:val="00A12EB0"/>
    <w:rsid w:val="00A1713A"/>
    <w:rsid w:val="00A24E83"/>
    <w:rsid w:val="00A312F6"/>
    <w:rsid w:val="00A327DA"/>
    <w:rsid w:val="00A32C7B"/>
    <w:rsid w:val="00A34ADD"/>
    <w:rsid w:val="00A40009"/>
    <w:rsid w:val="00A42E26"/>
    <w:rsid w:val="00A5280C"/>
    <w:rsid w:val="00A54F25"/>
    <w:rsid w:val="00A56DB1"/>
    <w:rsid w:val="00A64F7E"/>
    <w:rsid w:val="00A6798F"/>
    <w:rsid w:val="00A67F50"/>
    <w:rsid w:val="00A716FA"/>
    <w:rsid w:val="00A728A5"/>
    <w:rsid w:val="00A729DC"/>
    <w:rsid w:val="00A73548"/>
    <w:rsid w:val="00A740BF"/>
    <w:rsid w:val="00A80FE4"/>
    <w:rsid w:val="00A81798"/>
    <w:rsid w:val="00A83DED"/>
    <w:rsid w:val="00A904B7"/>
    <w:rsid w:val="00A90D54"/>
    <w:rsid w:val="00AA129D"/>
    <w:rsid w:val="00AA1334"/>
    <w:rsid w:val="00AA3484"/>
    <w:rsid w:val="00AA44A6"/>
    <w:rsid w:val="00AA45DB"/>
    <w:rsid w:val="00AB01B7"/>
    <w:rsid w:val="00AB08B8"/>
    <w:rsid w:val="00AB0C0E"/>
    <w:rsid w:val="00AB6AE7"/>
    <w:rsid w:val="00AC062C"/>
    <w:rsid w:val="00AC0E2C"/>
    <w:rsid w:val="00AC1EB3"/>
    <w:rsid w:val="00AC3E65"/>
    <w:rsid w:val="00AC5EAE"/>
    <w:rsid w:val="00AE352C"/>
    <w:rsid w:val="00AE37CC"/>
    <w:rsid w:val="00AE3910"/>
    <w:rsid w:val="00AE46D2"/>
    <w:rsid w:val="00AE5EE0"/>
    <w:rsid w:val="00AE6823"/>
    <w:rsid w:val="00AF473E"/>
    <w:rsid w:val="00AF6C7E"/>
    <w:rsid w:val="00B04CAE"/>
    <w:rsid w:val="00B05C41"/>
    <w:rsid w:val="00B06684"/>
    <w:rsid w:val="00B07C5A"/>
    <w:rsid w:val="00B07C80"/>
    <w:rsid w:val="00B11EE9"/>
    <w:rsid w:val="00B140FD"/>
    <w:rsid w:val="00B16918"/>
    <w:rsid w:val="00B176F8"/>
    <w:rsid w:val="00B20866"/>
    <w:rsid w:val="00B23EC5"/>
    <w:rsid w:val="00B26EE2"/>
    <w:rsid w:val="00B300BA"/>
    <w:rsid w:val="00B3409A"/>
    <w:rsid w:val="00B34C0C"/>
    <w:rsid w:val="00B34F6E"/>
    <w:rsid w:val="00B44912"/>
    <w:rsid w:val="00B44DA2"/>
    <w:rsid w:val="00B461DA"/>
    <w:rsid w:val="00B47D3E"/>
    <w:rsid w:val="00B5318E"/>
    <w:rsid w:val="00B60B64"/>
    <w:rsid w:val="00B61716"/>
    <w:rsid w:val="00B620DF"/>
    <w:rsid w:val="00B628D5"/>
    <w:rsid w:val="00B72781"/>
    <w:rsid w:val="00B748AC"/>
    <w:rsid w:val="00B74AD8"/>
    <w:rsid w:val="00B75342"/>
    <w:rsid w:val="00B764F1"/>
    <w:rsid w:val="00B80E61"/>
    <w:rsid w:val="00B8211E"/>
    <w:rsid w:val="00B91032"/>
    <w:rsid w:val="00B91418"/>
    <w:rsid w:val="00B92DDA"/>
    <w:rsid w:val="00B934BF"/>
    <w:rsid w:val="00B9404F"/>
    <w:rsid w:val="00B9633E"/>
    <w:rsid w:val="00BA327D"/>
    <w:rsid w:val="00BA387D"/>
    <w:rsid w:val="00BA3FAB"/>
    <w:rsid w:val="00BA4AF1"/>
    <w:rsid w:val="00BB0B66"/>
    <w:rsid w:val="00BB14B8"/>
    <w:rsid w:val="00BB2CAF"/>
    <w:rsid w:val="00BB5A57"/>
    <w:rsid w:val="00BC4D11"/>
    <w:rsid w:val="00BC5941"/>
    <w:rsid w:val="00BD07AA"/>
    <w:rsid w:val="00BD26D4"/>
    <w:rsid w:val="00BD2A0D"/>
    <w:rsid w:val="00BD3393"/>
    <w:rsid w:val="00BD6484"/>
    <w:rsid w:val="00BE51E4"/>
    <w:rsid w:val="00BE7CEA"/>
    <w:rsid w:val="00BF0205"/>
    <w:rsid w:val="00BF4555"/>
    <w:rsid w:val="00C01C6C"/>
    <w:rsid w:val="00C063E8"/>
    <w:rsid w:val="00C076A0"/>
    <w:rsid w:val="00C07835"/>
    <w:rsid w:val="00C16ED5"/>
    <w:rsid w:val="00C201FB"/>
    <w:rsid w:val="00C210E3"/>
    <w:rsid w:val="00C22E7B"/>
    <w:rsid w:val="00C23E4E"/>
    <w:rsid w:val="00C265A2"/>
    <w:rsid w:val="00C3409A"/>
    <w:rsid w:val="00C428E7"/>
    <w:rsid w:val="00C47717"/>
    <w:rsid w:val="00C50902"/>
    <w:rsid w:val="00C5197F"/>
    <w:rsid w:val="00C53D64"/>
    <w:rsid w:val="00C62A96"/>
    <w:rsid w:val="00C80E03"/>
    <w:rsid w:val="00C80ECB"/>
    <w:rsid w:val="00C830A3"/>
    <w:rsid w:val="00C83D02"/>
    <w:rsid w:val="00C83F35"/>
    <w:rsid w:val="00C84818"/>
    <w:rsid w:val="00C9137C"/>
    <w:rsid w:val="00CA0850"/>
    <w:rsid w:val="00CA0DEC"/>
    <w:rsid w:val="00CA6FC9"/>
    <w:rsid w:val="00CB23CF"/>
    <w:rsid w:val="00CC1AAB"/>
    <w:rsid w:val="00CC6AD0"/>
    <w:rsid w:val="00CC77BB"/>
    <w:rsid w:val="00CC7CBD"/>
    <w:rsid w:val="00CD4993"/>
    <w:rsid w:val="00CE34AB"/>
    <w:rsid w:val="00CF1DD4"/>
    <w:rsid w:val="00CF4EF1"/>
    <w:rsid w:val="00CF72A7"/>
    <w:rsid w:val="00D02108"/>
    <w:rsid w:val="00D05A41"/>
    <w:rsid w:val="00D0699E"/>
    <w:rsid w:val="00D0708D"/>
    <w:rsid w:val="00D072F2"/>
    <w:rsid w:val="00D079C2"/>
    <w:rsid w:val="00D11A7A"/>
    <w:rsid w:val="00D12AEF"/>
    <w:rsid w:val="00D14ABB"/>
    <w:rsid w:val="00D14BB7"/>
    <w:rsid w:val="00D15AC5"/>
    <w:rsid w:val="00D16001"/>
    <w:rsid w:val="00D164FC"/>
    <w:rsid w:val="00D2126D"/>
    <w:rsid w:val="00D221C9"/>
    <w:rsid w:val="00D233C9"/>
    <w:rsid w:val="00D24FF1"/>
    <w:rsid w:val="00D26561"/>
    <w:rsid w:val="00D3125C"/>
    <w:rsid w:val="00D36175"/>
    <w:rsid w:val="00D3660C"/>
    <w:rsid w:val="00D44E8F"/>
    <w:rsid w:val="00D47E94"/>
    <w:rsid w:val="00D47F69"/>
    <w:rsid w:val="00D55320"/>
    <w:rsid w:val="00D7284C"/>
    <w:rsid w:val="00D72941"/>
    <w:rsid w:val="00D80C1D"/>
    <w:rsid w:val="00D9083F"/>
    <w:rsid w:val="00D929C1"/>
    <w:rsid w:val="00D94975"/>
    <w:rsid w:val="00D96C7F"/>
    <w:rsid w:val="00DA012E"/>
    <w:rsid w:val="00DA088D"/>
    <w:rsid w:val="00DA6044"/>
    <w:rsid w:val="00DB0BDC"/>
    <w:rsid w:val="00DB7087"/>
    <w:rsid w:val="00DC2EC8"/>
    <w:rsid w:val="00DC516E"/>
    <w:rsid w:val="00DD23CF"/>
    <w:rsid w:val="00DD3B7C"/>
    <w:rsid w:val="00DF479C"/>
    <w:rsid w:val="00DF553B"/>
    <w:rsid w:val="00DF7A96"/>
    <w:rsid w:val="00E0338D"/>
    <w:rsid w:val="00E05460"/>
    <w:rsid w:val="00E11FDE"/>
    <w:rsid w:val="00E16054"/>
    <w:rsid w:val="00E166F7"/>
    <w:rsid w:val="00E17BAE"/>
    <w:rsid w:val="00E20BBF"/>
    <w:rsid w:val="00E222D8"/>
    <w:rsid w:val="00E240CE"/>
    <w:rsid w:val="00E273CF"/>
    <w:rsid w:val="00E41753"/>
    <w:rsid w:val="00E420F7"/>
    <w:rsid w:val="00E4362C"/>
    <w:rsid w:val="00E45487"/>
    <w:rsid w:val="00E51184"/>
    <w:rsid w:val="00E52A51"/>
    <w:rsid w:val="00E5438C"/>
    <w:rsid w:val="00E55FEC"/>
    <w:rsid w:val="00E617DF"/>
    <w:rsid w:val="00E63547"/>
    <w:rsid w:val="00E668FE"/>
    <w:rsid w:val="00E72E6D"/>
    <w:rsid w:val="00E76ED4"/>
    <w:rsid w:val="00E87114"/>
    <w:rsid w:val="00E87B76"/>
    <w:rsid w:val="00E91002"/>
    <w:rsid w:val="00E91115"/>
    <w:rsid w:val="00EA0663"/>
    <w:rsid w:val="00EA17A9"/>
    <w:rsid w:val="00EA3B8E"/>
    <w:rsid w:val="00EA5ED6"/>
    <w:rsid w:val="00EB059E"/>
    <w:rsid w:val="00EB06A9"/>
    <w:rsid w:val="00EB3748"/>
    <w:rsid w:val="00EB37ED"/>
    <w:rsid w:val="00EB5E16"/>
    <w:rsid w:val="00EB61C0"/>
    <w:rsid w:val="00EC0EB1"/>
    <w:rsid w:val="00EC14F1"/>
    <w:rsid w:val="00EC1CB6"/>
    <w:rsid w:val="00EC73DC"/>
    <w:rsid w:val="00ED1947"/>
    <w:rsid w:val="00ED2592"/>
    <w:rsid w:val="00ED54EB"/>
    <w:rsid w:val="00ED5B61"/>
    <w:rsid w:val="00EE2F57"/>
    <w:rsid w:val="00EE733C"/>
    <w:rsid w:val="00EE7F32"/>
    <w:rsid w:val="00EF11AE"/>
    <w:rsid w:val="00EF1832"/>
    <w:rsid w:val="00EF3A7B"/>
    <w:rsid w:val="00EF71D0"/>
    <w:rsid w:val="00F0129F"/>
    <w:rsid w:val="00F01BB7"/>
    <w:rsid w:val="00F0267A"/>
    <w:rsid w:val="00F05988"/>
    <w:rsid w:val="00F075C7"/>
    <w:rsid w:val="00F07DFB"/>
    <w:rsid w:val="00F11C44"/>
    <w:rsid w:val="00F1347E"/>
    <w:rsid w:val="00F14B9E"/>
    <w:rsid w:val="00F204DF"/>
    <w:rsid w:val="00F25671"/>
    <w:rsid w:val="00F339A5"/>
    <w:rsid w:val="00F33CB8"/>
    <w:rsid w:val="00F36046"/>
    <w:rsid w:val="00F44A47"/>
    <w:rsid w:val="00F45E1B"/>
    <w:rsid w:val="00F55717"/>
    <w:rsid w:val="00F60666"/>
    <w:rsid w:val="00F622A2"/>
    <w:rsid w:val="00F62378"/>
    <w:rsid w:val="00F6685C"/>
    <w:rsid w:val="00F724AD"/>
    <w:rsid w:val="00F735B6"/>
    <w:rsid w:val="00F753B0"/>
    <w:rsid w:val="00F811FE"/>
    <w:rsid w:val="00F8134A"/>
    <w:rsid w:val="00F82F46"/>
    <w:rsid w:val="00F84603"/>
    <w:rsid w:val="00F84A6C"/>
    <w:rsid w:val="00F8508C"/>
    <w:rsid w:val="00F9131E"/>
    <w:rsid w:val="00F917BF"/>
    <w:rsid w:val="00F9262C"/>
    <w:rsid w:val="00F94793"/>
    <w:rsid w:val="00FA21C9"/>
    <w:rsid w:val="00FB267B"/>
    <w:rsid w:val="00FB2FD4"/>
    <w:rsid w:val="00FB4109"/>
    <w:rsid w:val="00FB4E56"/>
    <w:rsid w:val="00FB57CA"/>
    <w:rsid w:val="00FB7F6D"/>
    <w:rsid w:val="00FC0D6C"/>
    <w:rsid w:val="00FC216E"/>
    <w:rsid w:val="00FC288C"/>
    <w:rsid w:val="00FD00C2"/>
    <w:rsid w:val="00FD63E3"/>
    <w:rsid w:val="00FE11B0"/>
    <w:rsid w:val="00FE1A01"/>
    <w:rsid w:val="00FE53D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53B3C0"/>
  <w15:chartTrackingRefBased/>
  <w15:docId w15:val="{5138BA92-05A7-47C4-9C35-B6C19162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7B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EF3A7B"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E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E0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E0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6">
    <w:name w:val="heading 6"/>
    <w:basedOn w:val="Normal"/>
    <w:next w:val="Normal"/>
    <w:qFormat/>
    <w:rsid w:val="005372F1"/>
    <w:pPr>
      <w:numPr>
        <w:ilvl w:val="1"/>
        <w:numId w:val="1"/>
      </w:numPr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1">
    <w:name w:val="WW8Num18z1"/>
    <w:rPr>
      <w:b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CharChar">
    <w:name w:val="Char Cha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Fontepargpadro1"/>
  </w:style>
  <w:style w:type="character" w:styleId="Nmerodepgina">
    <w:name w:val="page number"/>
    <w:basedOn w:val="Fontepargpadro1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Heading">
    <w:name w:val="Heading"/>
    <w:basedOn w:val="Normal"/>
    <w:next w:val="Corpodetexto"/>
    <w:pPr>
      <w:keepNext/>
      <w:spacing w:before="24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tabs>
        <w:tab w:val="left" w:pos="851"/>
      </w:tabs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  <w:lang w:val="x-non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rFonts w:ascii="Tahoma" w:hAnsi="Tahoma" w:cs="Tahoma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styleId="Textodenotadefim">
    <w:name w:val="endnote text"/>
    <w:basedOn w:val="Normal"/>
  </w:style>
  <w:style w:type="paragraph" w:customStyle="1" w:styleId="04partenormativa">
    <w:name w:val="04partenormativa"/>
    <w:basedOn w:val="Normal"/>
    <w:pPr>
      <w:spacing w:before="280" w:after="280"/>
    </w:pPr>
    <w:rPr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Corpodetexto"/>
  </w:style>
  <w:style w:type="paragraph" w:styleId="PargrafodaLista">
    <w:name w:val="List Paragraph"/>
    <w:basedOn w:val="Normal"/>
    <w:uiPriority w:val="34"/>
    <w:qFormat/>
    <w:rsid w:val="002F17B3"/>
    <w:pPr>
      <w:ind w:left="708"/>
    </w:pPr>
  </w:style>
  <w:style w:type="character" w:customStyle="1" w:styleId="RodapChar">
    <w:name w:val="Rodapé Char"/>
    <w:link w:val="Rodap"/>
    <w:uiPriority w:val="99"/>
    <w:rsid w:val="00A83DED"/>
    <w:rPr>
      <w:lang w:eastAsia="ar-SA"/>
    </w:rPr>
  </w:style>
  <w:style w:type="character" w:styleId="Forte">
    <w:name w:val="Strong"/>
    <w:uiPriority w:val="22"/>
    <w:qFormat/>
    <w:rsid w:val="00DD23CF"/>
    <w:rPr>
      <w:b/>
      <w:bCs/>
    </w:rPr>
  </w:style>
  <w:style w:type="paragraph" w:styleId="CabealhodoSumrio">
    <w:name w:val="TOC Heading"/>
    <w:basedOn w:val="Ttulo1"/>
    <w:next w:val="Normal"/>
    <w:uiPriority w:val="39"/>
    <w:qFormat/>
    <w:rsid w:val="00A40009"/>
    <w:pPr>
      <w:keepLines/>
      <w:suppressAutoHyphens w:val="0"/>
      <w:spacing w:before="480" w:line="276" w:lineRule="auto"/>
      <w:ind w:left="0" w:firstLine="0"/>
      <w:jc w:val="left"/>
      <w:outlineLvl w:val="9"/>
    </w:pPr>
    <w:rPr>
      <w:rFonts w:ascii="Cambria" w:eastAsia="Times New Roman" w:hAnsi="Cambria"/>
      <w:bCs w:val="0"/>
      <w:color w:val="365F91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225F6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225F6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225F6"/>
    <w:pPr>
      <w:spacing w:before="0" w:after="0"/>
      <w:ind w:left="240"/>
      <w:jc w:val="left"/>
    </w:pPr>
    <w:rPr>
      <w:rFonts w:ascii="Calibri" w:hAnsi="Calibri" w:cs="Calibri"/>
      <w:sz w:val="20"/>
    </w:rPr>
  </w:style>
  <w:style w:type="table" w:styleId="Tabelacomgrade">
    <w:name w:val="Table Grid"/>
    <w:basedOn w:val="Tabelanormal"/>
    <w:uiPriority w:val="39"/>
    <w:rsid w:val="00BA38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F3A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3A7B"/>
    <w:rPr>
      <w:sz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F3A7B"/>
    <w:rPr>
      <w:rFonts w:ascii="Arial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3A7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F3A7B"/>
    <w:rPr>
      <w:rFonts w:ascii="Arial" w:hAnsi="Arial"/>
      <w:b/>
      <w:bCs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6E6227"/>
    <w:pPr>
      <w:spacing w:before="0" w:after="0"/>
      <w:ind w:left="480"/>
      <w:jc w:val="left"/>
    </w:pPr>
    <w:rPr>
      <w:rFonts w:ascii="Calibri" w:hAnsi="Calibri" w:cs="Calibri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6E6227"/>
    <w:pPr>
      <w:spacing w:before="0" w:after="0"/>
      <w:ind w:left="720"/>
      <w:jc w:val="left"/>
    </w:pPr>
    <w:rPr>
      <w:rFonts w:ascii="Calibri" w:hAnsi="Calibri" w:cs="Calibri"/>
      <w:sz w:val="20"/>
    </w:rPr>
  </w:style>
  <w:style w:type="paragraph" w:styleId="Sumrio6">
    <w:name w:val="toc 6"/>
    <w:basedOn w:val="Normal"/>
    <w:next w:val="Normal"/>
    <w:autoRedefine/>
    <w:uiPriority w:val="39"/>
    <w:unhideWhenUsed/>
    <w:rsid w:val="006E6227"/>
    <w:pPr>
      <w:spacing w:before="0" w:after="0"/>
      <w:ind w:left="960"/>
      <w:jc w:val="left"/>
    </w:pPr>
    <w:rPr>
      <w:rFonts w:ascii="Calibri" w:hAnsi="Calibri" w:cs="Calibri"/>
      <w:sz w:val="20"/>
    </w:rPr>
  </w:style>
  <w:style w:type="paragraph" w:styleId="Sumrio7">
    <w:name w:val="toc 7"/>
    <w:basedOn w:val="Normal"/>
    <w:next w:val="Normal"/>
    <w:autoRedefine/>
    <w:uiPriority w:val="39"/>
    <w:unhideWhenUsed/>
    <w:rsid w:val="006E6227"/>
    <w:pPr>
      <w:spacing w:before="0" w:after="0"/>
      <w:ind w:left="1200"/>
      <w:jc w:val="left"/>
    </w:pPr>
    <w:rPr>
      <w:rFonts w:ascii="Calibri" w:hAnsi="Calibri" w:cs="Calibri"/>
      <w:sz w:val="20"/>
    </w:rPr>
  </w:style>
  <w:style w:type="paragraph" w:styleId="Sumrio8">
    <w:name w:val="toc 8"/>
    <w:basedOn w:val="Normal"/>
    <w:next w:val="Normal"/>
    <w:autoRedefine/>
    <w:uiPriority w:val="39"/>
    <w:unhideWhenUsed/>
    <w:rsid w:val="006E6227"/>
    <w:pPr>
      <w:spacing w:before="0" w:after="0"/>
      <w:ind w:left="1440"/>
      <w:jc w:val="left"/>
    </w:pPr>
    <w:rPr>
      <w:rFonts w:ascii="Calibri" w:hAnsi="Calibri" w:cs="Calibri"/>
      <w:sz w:val="20"/>
    </w:rPr>
  </w:style>
  <w:style w:type="paragraph" w:styleId="Sumrio9">
    <w:name w:val="toc 9"/>
    <w:basedOn w:val="Normal"/>
    <w:next w:val="Normal"/>
    <w:autoRedefine/>
    <w:uiPriority w:val="39"/>
    <w:unhideWhenUsed/>
    <w:rsid w:val="006E6227"/>
    <w:pPr>
      <w:spacing w:before="0" w:after="0"/>
      <w:ind w:left="1680"/>
      <w:jc w:val="left"/>
    </w:pPr>
    <w:rPr>
      <w:rFonts w:ascii="Calibri" w:hAnsi="Calibri" w:cs="Calibri"/>
      <w:sz w:val="20"/>
    </w:rPr>
  </w:style>
  <w:style w:type="character" w:customStyle="1" w:styleId="Ttulo2Char">
    <w:name w:val="Título 2 Char"/>
    <w:link w:val="Ttulo2"/>
    <w:uiPriority w:val="9"/>
    <w:semiHidden/>
    <w:rsid w:val="00227E0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uiPriority w:val="9"/>
    <w:semiHidden/>
    <w:rsid w:val="00227E0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"/>
    <w:semiHidden/>
    <w:rsid w:val="00227E0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SemEspaamento">
    <w:name w:val="No Spacing"/>
    <w:basedOn w:val="Normal"/>
    <w:next w:val="Normal"/>
    <w:link w:val="SemEspaamentoChar"/>
    <w:uiPriority w:val="1"/>
    <w:qFormat/>
    <w:rsid w:val="003718EB"/>
    <w:pPr>
      <w:spacing w:before="240" w:after="240"/>
      <w:ind w:left="709"/>
    </w:pPr>
    <w:rPr>
      <w:rFonts w:eastAsia="Times New Roman"/>
      <w:i/>
      <w:sz w:val="22"/>
      <w:szCs w:val="22"/>
      <w:lang w:val="x-none" w:eastAsia="x-none"/>
    </w:rPr>
  </w:style>
  <w:style w:type="character" w:customStyle="1" w:styleId="SemEspaamentoChar">
    <w:name w:val="Sem Espaçamento Char"/>
    <w:link w:val="SemEspaamento"/>
    <w:uiPriority w:val="1"/>
    <w:rsid w:val="003718EB"/>
    <w:rPr>
      <w:rFonts w:ascii="Arial" w:eastAsia="Times New Roman" w:hAnsi="Arial"/>
      <w:i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BF0205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5F48-D629-4547-882D-5B070181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1795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COLOMBO PREVIDÊNCIA</vt:lpstr>
    </vt:vector>
  </TitlesOfParts>
  <Company/>
  <LinksUpToDate>false</LinksUpToDate>
  <CharactersWithSpaces>11467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_Toc61943387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_Toc61943386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_Toc61943385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_Toc61943384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_Toc61943383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_Toc61943382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_Toc61943381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_Toc61943380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_Toc61943379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_Toc61943378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_Toc61943377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COLOMBO PREVIDÊNCIA</dc:title>
  <dc:subject/>
  <dc:creator>FAPEM</dc:creator>
  <cp:keywords/>
  <cp:lastModifiedBy>Gustavo Veronez</cp:lastModifiedBy>
  <cp:revision>66</cp:revision>
  <cp:lastPrinted>2020-08-18T21:45:00Z</cp:lastPrinted>
  <dcterms:created xsi:type="dcterms:W3CDTF">2026-04-23T13:38:00Z</dcterms:created>
  <dcterms:modified xsi:type="dcterms:W3CDTF">2026-04-23T19:35:00Z</dcterms:modified>
</cp:coreProperties>
</file>